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883" w:firstLineChars="200"/>
        <w:jc w:val="center"/>
        <w:rPr>
          <w:rFonts w:hint="eastAsia" w:ascii="仿宋" w:hAnsi="仿宋" w:eastAsia="仿宋" w:cs="仿宋"/>
          <w:color w:val="auto"/>
          <w:sz w:val="44"/>
          <w:szCs w:val="44"/>
          <w:highlight w:val="none"/>
        </w:rPr>
      </w:pPr>
      <w:r>
        <w:rPr>
          <w:rFonts w:hint="eastAsia" w:ascii="仿宋" w:hAnsi="仿宋" w:eastAsia="仿宋" w:cs="仿宋"/>
          <w:b/>
          <w:bCs/>
          <w:color w:val="auto"/>
          <w:sz w:val="44"/>
          <w:szCs w:val="44"/>
          <w:highlight w:val="none"/>
        </w:rPr>
        <w:t>2017年度霸州市卫生和计划生育局决算信息公开情况说明</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按照《预算法》、《河北省财政厅关于印发&lt;河北省预决算公开操作规程实施细则&gt;的通知》（冀财预﹝2016﹞129号）等规定，现将2017年部门决算公开如下：</w:t>
      </w:r>
    </w:p>
    <w:p>
      <w:pPr>
        <w:widowControl/>
        <w:numPr>
          <w:ilvl w:val="0"/>
          <w:numId w:val="1"/>
        </w:num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部门职责及机构设置情况</w:t>
      </w:r>
    </w:p>
    <w:p>
      <w:pPr>
        <w:widowControl/>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部门职责：</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负责全市卫生和计划生育政策的贯彻落实，监督实施卫生和计划生育行业技术标准和技术规范。负责协调推进医药卫生体制改革和医疗保障，统筹规划卫生和计划生育服务资源配置，指导区域卫生和计划生育规划的编制和实施。</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负责全市疾病预防控制规划、免疫规划、严重危害人民健康的公共卫生问题的干预措施的组织落实，拟订卫生应急和紧急医学救援预案，组织和指导突发公共卫生事件预防控制和各类突发公共事件的医疗卫生救援。</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负责职责范围内的职业卫生、放射卫生、环境卫生、学校卫生、公共场所卫生、饮用水卫生工作，组织开展相关监测、调查、评估和监督，负责传染病防治监督。组织开展食品安全风险监测、评估，依法受理企业标准备案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组织实施基层卫生、妇幼健康、计划生育技术服务和提高出生人口素质的发展规划和政策措施。指导全市基层卫生、妇幼卫生和计划生育技术服务体系建设，推进基本公共卫生服务逐步均等化。完善基层运行新机制和乡村医生管理制度，负责全市新型农村合作医疗相关政策的实施和综合监督管理。依法管理和规范母婴保健和计划生育技术服务工作，依法规范计划生育药具工作，推动实施计划生育生殖健康促进计划，降低出生缺陷人口数量。</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负责全市医疗机构和医疗服务的全行业管理。组织实施医疗机构及其医疗服务、医疗技术、医疗质量、医疗安全以及采供血机构的管理规范，会同有关部门组织实施卫生专业技术人员资格准入，实施卫生专业技术人员执业规则和服务规范，建立医疗服务评价和监督管理体系，负责卫生计生系统行风建设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（六）负责组织推进公立医院改革，建立公益性为导向的绩效考核和评价运行机制，建设和谐医患关系，提出医疗服务和药品价格政策的建议。</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（七）组织实施国家基本药物制度。拟订药品采购、配送、使用管理措施。负责高值医用耗材集中采购的相关工作。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（八）负责全市卫生和计划生育人才发展工作，指导卫生和计划生育人才队伍建设。加强全科医生等急需紧缺专业人才培养。</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（九）负责全市卫生和计划生育科技发展工作，组织实施卫生和计划生育相关科研项目。参与拟订医学教育发展规划，协同指导院校医学教育和计划生育教育，组织实施毕业后医学教育和继续医学教育。</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贯彻落实有关卫生与计划生育政策法律法规，指导全市卫生和计划生育工作，完善综合监督执法体系，规范执法行为，监督检查法律法规和政策措施的落实，组织查处重大违法行为。坚持计划生育目标管理责任制，监督落实计划生育一票否决制。</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（十一）负责卫生和计划生育宣传、健康教育、健康促进、交流合作等工作。加强卫生和计划生育信息化建设和统计工作。指导基层计划生育基础管理和服务工作。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（十二）负责全市中医药发展工作，承担中医医疗、预防、保健、康复及临床用药等监督管理责任。承担继承和发展中医药文化的有关工作。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（十三）负责市保健对象的医疗保健工作，负责重要会议与重大活动的医疗卫生保障工作。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四）组织建立计划生育利益导向、计划生育特殊困难家庭扶助和促进计划生育家庭发展等机制。负责协调推进有关部门、群众团体履行计划生育工作相关职责，建立与经济社会发展政策的衔接机制，提出稳定低生育水平政策措施。加强出生人口性别比综合治理工作。</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（十五）承办市政府交办的其他事项。</w:t>
      </w:r>
    </w:p>
    <w:p>
      <w:pPr>
        <w:widowControl/>
        <w:spacing w:line="5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机构设置：</w:t>
      </w:r>
    </w:p>
    <w:p>
      <w:pPr>
        <w:spacing w:line="560" w:lineRule="exact"/>
        <w:ind w:firstLine="560" w:firstLineChars="200"/>
        <w:outlineLvl w:val="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部门机构设置情况</w:t>
      </w:r>
    </w:p>
    <w:tbl>
      <w:tblPr>
        <w:tblStyle w:val="4"/>
        <w:tblW w:w="910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6"/>
        <w:gridCol w:w="1887"/>
        <w:gridCol w:w="1190"/>
        <w:gridCol w:w="2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restart"/>
            <w:vAlign w:val="center"/>
          </w:tcPr>
          <w:p>
            <w:pPr>
              <w:spacing w:line="56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单位名称</w:t>
            </w:r>
          </w:p>
        </w:tc>
        <w:tc>
          <w:tcPr>
            <w:tcW w:w="1887" w:type="dxa"/>
            <w:vMerge w:val="restart"/>
            <w:vAlign w:val="center"/>
          </w:tcPr>
          <w:p>
            <w:pPr>
              <w:spacing w:line="56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单位性质</w:t>
            </w:r>
          </w:p>
        </w:tc>
        <w:tc>
          <w:tcPr>
            <w:tcW w:w="1190" w:type="dxa"/>
            <w:vMerge w:val="restart"/>
            <w:vAlign w:val="center"/>
          </w:tcPr>
          <w:p>
            <w:pPr>
              <w:spacing w:line="56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单位 规格</w:t>
            </w:r>
          </w:p>
        </w:tc>
        <w:tc>
          <w:tcPr>
            <w:tcW w:w="2707" w:type="dxa"/>
            <w:vMerge w:val="restart"/>
            <w:vAlign w:val="center"/>
          </w:tcPr>
          <w:p>
            <w:pPr>
              <w:spacing w:line="560" w:lineRule="exact"/>
              <w:jc w:val="center"/>
              <w:rPr>
                <w:rFonts w:hint="eastAsia" w:ascii="仿宋" w:hAnsi="仿宋" w:eastAsia="仿宋" w:cs="仿宋"/>
                <w:b/>
                <w:color w:val="auto"/>
                <w:highlight w:val="none"/>
              </w:rPr>
            </w:pPr>
            <w:r>
              <w:rPr>
                <w:rFonts w:hint="eastAsia" w:ascii="仿宋" w:hAnsi="仿宋" w:eastAsia="仿宋" w:cs="仿宋"/>
                <w:b/>
                <w:color w:val="auto"/>
                <w:highlight w:val="none"/>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0" w:hRule="atLeast"/>
          <w:tblHeader/>
          <w:jc w:val="center"/>
        </w:trPr>
        <w:tc>
          <w:tcPr>
            <w:tcW w:w="3316" w:type="dxa"/>
            <w:vMerge w:val="continue"/>
            <w:vAlign w:val="center"/>
          </w:tcPr>
          <w:p>
            <w:pPr>
              <w:spacing w:line="560" w:lineRule="exact"/>
              <w:ind w:firstLine="420" w:firstLineChars="200"/>
              <w:outlineLvl w:val="0"/>
              <w:rPr>
                <w:rFonts w:hint="eastAsia" w:ascii="仿宋" w:hAnsi="仿宋" w:eastAsia="仿宋" w:cs="仿宋"/>
                <w:color w:val="auto"/>
                <w:highlight w:val="none"/>
              </w:rPr>
            </w:pPr>
          </w:p>
        </w:tc>
        <w:tc>
          <w:tcPr>
            <w:tcW w:w="1887" w:type="dxa"/>
            <w:vMerge w:val="continue"/>
            <w:vAlign w:val="center"/>
          </w:tcPr>
          <w:p>
            <w:pPr>
              <w:spacing w:line="560" w:lineRule="exact"/>
              <w:ind w:firstLine="420" w:firstLineChars="200"/>
              <w:outlineLvl w:val="0"/>
              <w:rPr>
                <w:rFonts w:hint="eastAsia" w:ascii="仿宋" w:hAnsi="仿宋" w:eastAsia="仿宋" w:cs="仿宋"/>
                <w:color w:val="auto"/>
                <w:highlight w:val="none"/>
              </w:rPr>
            </w:pPr>
          </w:p>
        </w:tc>
        <w:tc>
          <w:tcPr>
            <w:tcW w:w="1190" w:type="dxa"/>
            <w:vMerge w:val="continue"/>
            <w:vAlign w:val="center"/>
          </w:tcPr>
          <w:p>
            <w:pPr>
              <w:spacing w:line="560" w:lineRule="exact"/>
              <w:ind w:firstLine="420" w:firstLineChars="200"/>
              <w:outlineLvl w:val="0"/>
              <w:rPr>
                <w:rFonts w:hint="eastAsia" w:ascii="仿宋" w:hAnsi="仿宋" w:eastAsia="仿宋" w:cs="仿宋"/>
                <w:color w:val="auto"/>
                <w:highlight w:val="none"/>
              </w:rPr>
            </w:pPr>
          </w:p>
        </w:tc>
        <w:tc>
          <w:tcPr>
            <w:tcW w:w="2707" w:type="dxa"/>
            <w:vMerge w:val="continue"/>
            <w:vAlign w:val="center"/>
          </w:tcPr>
          <w:p>
            <w:pPr>
              <w:spacing w:line="560" w:lineRule="exact"/>
              <w:ind w:firstLine="420" w:firstLineChars="200"/>
              <w:outlineLvl w:val="0"/>
              <w:rPr>
                <w:rFonts w:hint="eastAsia" w:ascii="仿宋" w:hAnsi="仿宋" w:eastAsia="仿宋" w:cs="仿宋"/>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71" w:hRule="atLeast"/>
          <w:jc w:val="center"/>
        </w:trPr>
        <w:tc>
          <w:tcPr>
            <w:tcW w:w="3316" w:type="dxa"/>
            <w:vAlign w:val="center"/>
          </w:tcPr>
          <w:p>
            <w:pPr>
              <w:spacing w:line="56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霸州市卫生和计划生育局(机关)</w:t>
            </w:r>
          </w:p>
        </w:tc>
        <w:tc>
          <w:tcPr>
            <w:tcW w:w="1887" w:type="dxa"/>
            <w:vAlign w:val="center"/>
          </w:tcPr>
          <w:p>
            <w:pPr>
              <w:spacing w:line="56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行政</w:t>
            </w:r>
          </w:p>
        </w:tc>
        <w:tc>
          <w:tcPr>
            <w:tcW w:w="1190" w:type="dxa"/>
            <w:vAlign w:val="center"/>
          </w:tcPr>
          <w:p>
            <w:pPr>
              <w:spacing w:line="560" w:lineRule="exact"/>
              <w:jc w:val="center"/>
              <w:rPr>
                <w:rFonts w:hint="eastAsia" w:ascii="仿宋" w:hAnsi="仿宋" w:eastAsia="仿宋" w:cs="仿宋"/>
                <w:color w:val="auto"/>
                <w:highlight w:val="none"/>
              </w:rPr>
            </w:pPr>
            <w:r>
              <w:rPr>
                <w:rFonts w:hint="eastAsia" w:ascii="仿宋" w:hAnsi="仿宋" w:eastAsia="仿宋" w:cs="仿宋"/>
                <w:color w:val="auto"/>
                <w:highlight w:val="none"/>
              </w:rPr>
              <w:t>正科级</w:t>
            </w:r>
          </w:p>
        </w:tc>
        <w:tc>
          <w:tcPr>
            <w:tcW w:w="2707" w:type="dxa"/>
            <w:vAlign w:val="center"/>
          </w:tcPr>
          <w:p>
            <w:pPr>
              <w:spacing w:line="560" w:lineRule="exact"/>
              <w:jc w:val="center"/>
              <w:rPr>
                <w:rFonts w:hint="eastAsia" w:ascii="仿宋" w:hAnsi="仿宋" w:eastAsia="仿宋" w:cs="仿宋"/>
                <w:color w:val="auto"/>
                <w:highlight w:val="none"/>
                <w:lang w:eastAsia="zh-CN"/>
              </w:rPr>
            </w:pPr>
            <w:r>
              <w:rPr>
                <w:rFonts w:hint="eastAsia" w:ascii="仿宋" w:hAnsi="仿宋" w:eastAsia="仿宋" w:cs="仿宋"/>
                <w:color w:val="auto"/>
                <w:szCs w:val="24"/>
                <w:highlight w:val="none"/>
                <w:lang w:eastAsia="zh-CN"/>
              </w:rPr>
              <w:t>财政拨款</w:t>
            </w:r>
          </w:p>
        </w:tc>
      </w:tr>
    </w:tbl>
    <w:p>
      <w:pPr>
        <w:spacing w:line="560" w:lineRule="exact"/>
        <w:ind w:firstLine="562" w:firstLineChars="200"/>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“我单位为1级预算单位，无下属单位，无汇总决算。”</w:t>
      </w:r>
    </w:p>
    <w:p>
      <w:pPr>
        <w:spacing w:line="560" w:lineRule="exact"/>
        <w:ind w:firstLine="560" w:firstLineChars="200"/>
        <w:rPr>
          <w:rFonts w:hint="eastAsia" w:ascii="仿宋" w:hAnsi="仿宋" w:eastAsia="仿宋" w:cs="仿宋"/>
          <w:color w:val="auto"/>
          <w:sz w:val="32"/>
          <w:szCs w:val="32"/>
          <w:highlight w:val="none"/>
        </w:rPr>
      </w:pPr>
      <w:r>
        <w:rPr>
          <w:rFonts w:hint="eastAsia" w:ascii="仿宋" w:hAnsi="仿宋" w:eastAsia="仿宋" w:cs="仿宋"/>
          <w:color w:val="auto"/>
          <w:sz w:val="28"/>
          <w:szCs w:val="28"/>
          <w:highlight w:val="none"/>
        </w:rPr>
        <w:t>二、</w:t>
      </w:r>
      <w:r>
        <w:rPr>
          <w:rFonts w:hint="eastAsia" w:ascii="仿宋" w:hAnsi="仿宋" w:eastAsia="仿宋" w:cs="仿宋"/>
          <w:color w:val="auto"/>
          <w:sz w:val="32"/>
          <w:szCs w:val="32"/>
          <w:highlight w:val="none"/>
        </w:rPr>
        <w:t>部门决算报表（见附表）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（一）、收入支出决算总表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（二）、收入决算表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（三）、支出决算表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（四）、财政拨款收入支出决算总表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（五）、一般公共预算财政拨款支出决算表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（六）、一般公共预算财政拨款基本支出决算表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（七）、政府性基金预算财政拨款收入支出决算表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（八）、国有资本经营预算财政拨款收入支出决算表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（九）、“三公经费”及相关信息统计表</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（十）、政府采购情况表</w:t>
      </w:r>
    </w:p>
    <w:p>
      <w:pPr>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三、2017年度部门决算情况说明</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（一）收入支出决算总体情况说明</w:t>
      </w:r>
    </w:p>
    <w:p>
      <w:pPr>
        <w:snapToGrid w:val="0"/>
        <w:spacing w:line="560" w:lineRule="exact"/>
        <w:ind w:firstLine="640" w:firstLineChars="200"/>
        <w:rPr>
          <w:rFonts w:hint="eastAsia" w:ascii="仿宋" w:hAnsi="仿宋" w:eastAsia="仿宋" w:cs="仿宋"/>
          <w:color w:val="auto"/>
          <w:sz w:val="32"/>
          <w:highlight w:val="none"/>
          <w:lang w:val="en-US" w:eastAsia="zh-CN"/>
        </w:rPr>
      </w:pPr>
      <w:r>
        <w:rPr>
          <w:rFonts w:hint="eastAsia" w:ascii="仿宋" w:hAnsi="仿宋" w:eastAsia="仿宋" w:cs="仿宋"/>
          <w:color w:val="auto"/>
          <w:sz w:val="32"/>
          <w:szCs w:val="32"/>
          <w:highlight w:val="none"/>
        </w:rPr>
        <w:t>霸州市卫生和计划生育局2017年度</w:t>
      </w:r>
      <w:r>
        <w:rPr>
          <w:rFonts w:hint="eastAsia" w:ascii="仿宋" w:hAnsi="仿宋" w:eastAsia="仿宋" w:cs="仿宋"/>
          <w:color w:val="auto"/>
          <w:sz w:val="32"/>
          <w:highlight w:val="none"/>
        </w:rPr>
        <w:t>决算收入总计</w:t>
      </w:r>
      <w:r>
        <w:rPr>
          <w:rFonts w:hint="eastAsia" w:ascii="仿宋" w:hAnsi="仿宋" w:eastAsia="仿宋" w:cs="仿宋"/>
          <w:color w:val="auto"/>
          <w:sz w:val="32"/>
          <w:szCs w:val="32"/>
          <w:highlight w:val="none"/>
        </w:rPr>
        <w:t>5582.80</w:t>
      </w:r>
      <w:r>
        <w:rPr>
          <w:rFonts w:hint="eastAsia" w:ascii="仿宋" w:hAnsi="仿宋" w:eastAsia="仿宋" w:cs="仿宋"/>
          <w:color w:val="auto"/>
          <w:sz w:val="32"/>
          <w:highlight w:val="none"/>
        </w:rPr>
        <w:t>万元，</w:t>
      </w:r>
      <w:r>
        <w:rPr>
          <w:rFonts w:hint="eastAsia" w:ascii="仿宋" w:hAnsi="仿宋" w:eastAsia="仿宋" w:cs="仿宋"/>
          <w:color w:val="auto"/>
          <w:sz w:val="32"/>
          <w:highlight w:val="none"/>
          <w:lang w:val="en-US" w:eastAsia="zh-CN"/>
        </w:rPr>
        <w:t>比</w:t>
      </w:r>
      <w:r>
        <w:rPr>
          <w:rFonts w:hint="eastAsia" w:ascii="仿宋" w:hAnsi="仿宋" w:eastAsia="仿宋" w:cs="仿宋"/>
          <w:color w:val="auto"/>
          <w:sz w:val="32"/>
          <w:highlight w:val="none"/>
        </w:rPr>
        <w:t>2016年度决算增加4050.</w:t>
      </w:r>
      <w:r>
        <w:rPr>
          <w:rFonts w:hint="eastAsia" w:ascii="仿宋" w:hAnsi="仿宋" w:eastAsia="仿宋" w:cs="仿宋"/>
          <w:color w:val="auto"/>
          <w:sz w:val="32"/>
          <w:highlight w:val="none"/>
          <w:lang w:val="en-US" w:eastAsia="zh-CN"/>
        </w:rPr>
        <w:t>28</w:t>
      </w:r>
      <w:r>
        <w:rPr>
          <w:rFonts w:hint="eastAsia" w:ascii="仿宋" w:hAnsi="仿宋" w:eastAsia="仿宋" w:cs="仿宋"/>
          <w:color w:val="auto"/>
          <w:sz w:val="32"/>
          <w:highlight w:val="none"/>
        </w:rPr>
        <w:t>万元，增长</w:t>
      </w:r>
      <w:r>
        <w:rPr>
          <w:rFonts w:hint="eastAsia" w:ascii="仿宋" w:hAnsi="仿宋" w:eastAsia="仿宋" w:cs="仿宋"/>
          <w:color w:val="auto"/>
          <w:sz w:val="32"/>
          <w:highlight w:val="none"/>
          <w:lang w:val="en-US" w:eastAsia="zh-CN"/>
        </w:rPr>
        <w:t>264</w:t>
      </w:r>
    </w:p>
    <w:p>
      <w:pPr>
        <w:snapToGrid w:val="0"/>
        <w:spacing w:line="560" w:lineRule="exact"/>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highlight w:val="none"/>
          <w:lang w:val="en-US" w:eastAsia="zh-CN"/>
        </w:rPr>
        <w:t>.29</w:t>
      </w:r>
      <w:r>
        <w:rPr>
          <w:rFonts w:hint="eastAsia" w:ascii="仿宋" w:hAnsi="仿宋" w:eastAsia="仿宋" w:cs="仿宋"/>
          <w:color w:val="auto"/>
          <w:sz w:val="32"/>
          <w:highlight w:val="none"/>
        </w:rPr>
        <w:t>%，主要原因是霸州市卫生局和霸州市人口和计划生育局合并为霸州市卫生和计划生育局。</w:t>
      </w:r>
      <w:r>
        <w:rPr>
          <w:rFonts w:hint="eastAsia" w:ascii="仿宋" w:hAnsi="仿宋" w:eastAsia="仿宋" w:cs="仿宋"/>
          <w:color w:val="auto"/>
          <w:sz w:val="32"/>
          <w:highlight w:val="none"/>
          <w:lang w:val="en-US" w:eastAsia="zh-CN"/>
        </w:rPr>
        <w:t>2017年</w:t>
      </w:r>
      <w:r>
        <w:rPr>
          <w:rFonts w:hint="eastAsia" w:ascii="仿宋" w:hAnsi="仿宋" w:eastAsia="仿宋" w:cs="仿宋"/>
          <w:color w:val="auto"/>
          <w:sz w:val="32"/>
          <w:highlight w:val="none"/>
        </w:rPr>
        <w:t>决算支出总计</w:t>
      </w:r>
      <w:r>
        <w:rPr>
          <w:rFonts w:hint="eastAsia" w:ascii="仿宋" w:hAnsi="仿宋" w:eastAsia="仿宋" w:cs="仿宋"/>
          <w:color w:val="auto"/>
          <w:sz w:val="32"/>
          <w:szCs w:val="32"/>
          <w:highlight w:val="none"/>
        </w:rPr>
        <w:t>8711.62</w:t>
      </w:r>
      <w:r>
        <w:rPr>
          <w:rFonts w:hint="eastAsia" w:ascii="仿宋" w:hAnsi="仿宋" w:eastAsia="仿宋" w:cs="仿宋"/>
          <w:color w:val="auto"/>
          <w:sz w:val="32"/>
          <w:highlight w:val="none"/>
        </w:rPr>
        <w:t>万元</w:t>
      </w:r>
      <w:r>
        <w:rPr>
          <w:rFonts w:hint="eastAsia" w:ascii="仿宋" w:hAnsi="仿宋" w:eastAsia="仿宋" w:cs="仿宋"/>
          <w:color w:val="auto"/>
          <w:sz w:val="32"/>
          <w:highlight w:val="none"/>
          <w:lang w:eastAsia="zh-CN"/>
        </w:rPr>
        <w:t>，</w:t>
      </w:r>
      <w:r>
        <w:rPr>
          <w:rFonts w:hint="eastAsia" w:ascii="仿宋" w:hAnsi="仿宋" w:eastAsia="仿宋" w:cs="仿宋"/>
          <w:color w:val="auto"/>
          <w:sz w:val="32"/>
          <w:highlight w:val="none"/>
          <w:lang w:val="en-US" w:eastAsia="zh-CN"/>
        </w:rPr>
        <w:t>比</w:t>
      </w:r>
      <w:r>
        <w:rPr>
          <w:rFonts w:hint="eastAsia" w:ascii="仿宋" w:hAnsi="仿宋" w:eastAsia="仿宋" w:cs="仿宋"/>
          <w:color w:val="auto"/>
          <w:sz w:val="32"/>
          <w:highlight w:val="none"/>
          <w:lang w:eastAsia="zh-CN"/>
        </w:rPr>
        <w:t>2016年度决算增加1856.22万元，增长</w:t>
      </w:r>
      <w:r>
        <w:rPr>
          <w:rFonts w:hint="eastAsia" w:ascii="仿宋" w:hAnsi="仿宋" w:eastAsia="仿宋" w:cs="仿宋"/>
          <w:color w:val="auto"/>
          <w:sz w:val="32"/>
          <w:highlight w:val="none"/>
          <w:lang w:val="en-US" w:eastAsia="zh-CN"/>
        </w:rPr>
        <w:t>27.08</w:t>
      </w:r>
      <w:r>
        <w:rPr>
          <w:rFonts w:hint="eastAsia" w:ascii="仿宋" w:hAnsi="仿宋" w:eastAsia="仿宋" w:cs="仿宋"/>
          <w:color w:val="auto"/>
          <w:sz w:val="32"/>
          <w:highlight w:val="none"/>
          <w:lang w:eastAsia="zh-CN"/>
        </w:rPr>
        <w:t>%，主要原因是霸州市卫生局和霸州市人口和计划生育局合并为霸州市卫生和计划生育局。</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（二）收入决算情况说明</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霸州市卫生和计划生育局2017年度收入合计5582.80万元，其中财政拨款收入4438.96万元，占比79.51%；其他收入1143.84万元，占比20.49%。</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（三）支出决算情况说明</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霸州市卫生和计划生育局2017年部门决算支出为8711.62万元，其中：基本支出1921.34万元，占比22.05%，包含人员经费支出1755.31万元和日常公用经费支出16</w:t>
      </w:r>
      <w:r>
        <w:rPr>
          <w:rFonts w:hint="eastAsia" w:ascii="仿宋" w:hAnsi="仿宋" w:eastAsia="仿宋" w:cs="仿宋"/>
          <w:color w:val="auto"/>
          <w:sz w:val="32"/>
          <w:szCs w:val="32"/>
          <w:highlight w:val="none"/>
          <w:lang w:val="en-US" w:eastAsia="zh-CN"/>
        </w:rPr>
        <w:t>6.03</w:t>
      </w:r>
      <w:r>
        <w:rPr>
          <w:rFonts w:hint="eastAsia" w:ascii="仿宋" w:hAnsi="仿宋" w:eastAsia="仿宋" w:cs="仿宋"/>
          <w:color w:val="auto"/>
          <w:sz w:val="32"/>
          <w:szCs w:val="32"/>
          <w:highlight w:val="none"/>
        </w:rPr>
        <w:t>万元；项目支出6790.28万元，占比77.95%。</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（四）财政拨款收入支出决算总体情况说明</w:t>
      </w:r>
    </w:p>
    <w:p>
      <w:pPr>
        <w:widowControl/>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highlight w:val="none"/>
        </w:rPr>
        <w:t>1、财政拨款收支与2016年度决算对比情况</w:t>
      </w:r>
    </w:p>
    <w:p>
      <w:pPr>
        <w:snapToGrid w:val="0"/>
        <w:spacing w:line="560" w:lineRule="exact"/>
        <w:ind w:firstLine="640" w:firstLineChars="200"/>
        <w:rPr>
          <w:rFonts w:hint="eastAsia" w:ascii="仿宋" w:hAnsi="仿宋" w:eastAsia="仿宋" w:cs="仿宋"/>
          <w:color w:val="auto"/>
          <w:sz w:val="32"/>
          <w:highlight w:val="red"/>
        </w:rPr>
      </w:pPr>
      <w:r>
        <w:rPr>
          <w:rFonts w:hint="eastAsia" w:ascii="仿宋" w:hAnsi="仿宋" w:eastAsia="仿宋" w:cs="仿宋"/>
          <w:color w:val="auto"/>
          <w:sz w:val="32"/>
          <w:szCs w:val="32"/>
          <w:highlight w:val="none"/>
        </w:rPr>
        <w:t>霸州市卫生和计划生育局2017年财政拨款收入决算总计</w:t>
      </w:r>
      <w:r>
        <w:rPr>
          <w:rFonts w:hint="eastAsia" w:ascii="仿宋" w:hAnsi="仿宋" w:eastAsia="仿宋" w:cs="仿宋"/>
          <w:color w:val="auto"/>
          <w:sz w:val="32"/>
          <w:szCs w:val="32"/>
          <w:highlight w:val="none"/>
          <w:lang w:val="en-US" w:eastAsia="zh-CN"/>
        </w:rPr>
        <w:t>4438.96</w:t>
      </w:r>
      <w:r>
        <w:rPr>
          <w:rFonts w:hint="eastAsia" w:ascii="仿宋" w:hAnsi="仿宋" w:eastAsia="仿宋" w:cs="仿宋"/>
          <w:color w:val="auto"/>
          <w:sz w:val="32"/>
          <w:szCs w:val="32"/>
          <w:highlight w:val="none"/>
        </w:rPr>
        <w:t>万元，较2016年</w:t>
      </w:r>
      <w:r>
        <w:rPr>
          <w:rFonts w:hint="eastAsia" w:ascii="仿宋" w:hAnsi="仿宋" w:eastAsia="仿宋" w:cs="仿宋"/>
          <w:color w:val="auto"/>
          <w:sz w:val="32"/>
          <w:highlight w:val="none"/>
        </w:rPr>
        <w:t>度决算</w:t>
      </w:r>
      <w:r>
        <w:rPr>
          <w:rFonts w:hint="eastAsia"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2906.44</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增长</w:t>
      </w:r>
      <w:r>
        <w:rPr>
          <w:rFonts w:hint="eastAsia" w:ascii="仿宋" w:hAnsi="仿宋" w:eastAsia="仿宋" w:cs="仿宋"/>
          <w:color w:val="auto"/>
          <w:sz w:val="32"/>
          <w:highlight w:val="none"/>
          <w:lang w:val="en-US" w:eastAsia="zh-CN"/>
        </w:rPr>
        <w:t>189.65</w:t>
      </w:r>
      <w:r>
        <w:rPr>
          <w:rFonts w:hint="eastAsia" w:ascii="仿宋" w:hAnsi="仿宋" w:eastAsia="仿宋" w:cs="仿宋"/>
          <w:color w:val="auto"/>
          <w:sz w:val="32"/>
          <w:highlight w:val="none"/>
        </w:rPr>
        <w:t>%，主要原因</w:t>
      </w:r>
      <w:r>
        <w:rPr>
          <w:rFonts w:hint="eastAsia" w:ascii="仿宋" w:hAnsi="仿宋" w:eastAsia="仿宋" w:cs="仿宋"/>
          <w:color w:val="auto"/>
          <w:sz w:val="32"/>
          <w:highlight w:val="none"/>
          <w:u w:val="none"/>
        </w:rPr>
        <w:t>是</w:t>
      </w:r>
      <w:r>
        <w:rPr>
          <w:rFonts w:hint="eastAsia" w:ascii="仿宋" w:hAnsi="仿宋" w:eastAsia="仿宋" w:cs="仿宋"/>
          <w:color w:val="auto"/>
          <w:sz w:val="32"/>
          <w:szCs w:val="32"/>
          <w:highlight w:val="none"/>
          <w:u w:val="none"/>
        </w:rPr>
        <w:t>霸州市卫生局和霸州市人口和计划生育局合并为霸州市卫生和计划生育局</w:t>
      </w:r>
      <w:r>
        <w:rPr>
          <w:rFonts w:hint="eastAsia" w:ascii="仿宋" w:hAnsi="仿宋" w:eastAsia="仿宋" w:cs="仿宋"/>
          <w:color w:val="auto"/>
          <w:sz w:val="32"/>
          <w:highlight w:val="none"/>
          <w:u w:val="none"/>
        </w:rPr>
        <w:t>。</w:t>
      </w:r>
      <w:r>
        <w:rPr>
          <w:rFonts w:hint="eastAsia" w:ascii="仿宋" w:hAnsi="仿宋" w:eastAsia="仿宋" w:cs="仿宋"/>
          <w:color w:val="auto"/>
          <w:sz w:val="32"/>
          <w:szCs w:val="32"/>
          <w:highlight w:val="none"/>
          <w:u w:val="none"/>
        </w:rPr>
        <w:t>其中，一般公共预算拨款增加2906.46万元。2017年财政拨款支出决算总计</w:t>
      </w:r>
      <w:r>
        <w:rPr>
          <w:rFonts w:hint="eastAsia" w:ascii="仿宋" w:hAnsi="仿宋" w:eastAsia="仿宋" w:cs="仿宋"/>
          <w:color w:val="auto"/>
          <w:sz w:val="32"/>
          <w:szCs w:val="32"/>
          <w:highlight w:val="none"/>
          <w:u w:val="none"/>
          <w:lang w:val="en-US" w:eastAsia="zh-CN"/>
        </w:rPr>
        <w:t>4233.71</w:t>
      </w:r>
      <w:r>
        <w:rPr>
          <w:rFonts w:hint="eastAsia" w:ascii="仿宋" w:hAnsi="仿宋" w:eastAsia="仿宋" w:cs="仿宋"/>
          <w:color w:val="auto"/>
          <w:sz w:val="32"/>
          <w:szCs w:val="32"/>
          <w:highlight w:val="none"/>
          <w:u w:val="none"/>
        </w:rPr>
        <w:t>万元，较2016年</w:t>
      </w:r>
      <w:r>
        <w:rPr>
          <w:rFonts w:hint="eastAsia" w:ascii="仿宋" w:hAnsi="仿宋" w:eastAsia="仿宋" w:cs="仿宋"/>
          <w:color w:val="auto"/>
          <w:sz w:val="32"/>
          <w:highlight w:val="none"/>
          <w:u w:val="none"/>
        </w:rPr>
        <w:t>度决算</w:t>
      </w:r>
      <w:r>
        <w:rPr>
          <w:rFonts w:hint="eastAsia" w:ascii="仿宋" w:hAnsi="仿宋" w:eastAsia="仿宋" w:cs="仿宋"/>
          <w:color w:val="auto"/>
          <w:sz w:val="32"/>
          <w:szCs w:val="32"/>
          <w:highlight w:val="none"/>
          <w:u w:val="none"/>
          <w:lang w:eastAsia="zh-CN"/>
        </w:rPr>
        <w:t>减少</w:t>
      </w:r>
      <w:r>
        <w:rPr>
          <w:rFonts w:hint="eastAsia" w:ascii="仿宋" w:hAnsi="仿宋" w:eastAsia="仿宋" w:cs="仿宋"/>
          <w:color w:val="auto"/>
          <w:sz w:val="32"/>
          <w:szCs w:val="32"/>
          <w:highlight w:val="none"/>
          <w:u w:val="none"/>
          <w:lang w:val="en-US" w:eastAsia="zh-CN"/>
        </w:rPr>
        <w:t>2621.69</w:t>
      </w:r>
      <w:r>
        <w:rPr>
          <w:rFonts w:hint="eastAsia" w:ascii="仿宋" w:hAnsi="仿宋" w:eastAsia="仿宋" w:cs="仿宋"/>
          <w:color w:val="auto"/>
          <w:sz w:val="32"/>
          <w:szCs w:val="32"/>
          <w:highlight w:val="none"/>
          <w:u w:val="none"/>
        </w:rPr>
        <w:t>万元，</w:t>
      </w:r>
      <w:r>
        <w:rPr>
          <w:rFonts w:hint="eastAsia" w:ascii="仿宋" w:hAnsi="仿宋" w:eastAsia="仿宋" w:cs="仿宋"/>
          <w:color w:val="auto"/>
          <w:sz w:val="32"/>
          <w:szCs w:val="32"/>
          <w:highlight w:val="none"/>
          <w:u w:val="none"/>
          <w:lang w:eastAsia="zh-CN"/>
        </w:rPr>
        <w:t>减少</w:t>
      </w:r>
      <w:r>
        <w:rPr>
          <w:rFonts w:hint="eastAsia" w:ascii="仿宋" w:hAnsi="仿宋" w:eastAsia="仿宋" w:cs="仿宋"/>
          <w:color w:val="auto"/>
          <w:sz w:val="32"/>
          <w:szCs w:val="32"/>
          <w:highlight w:val="none"/>
          <w:u w:val="none"/>
          <w:lang w:val="en-US" w:eastAsia="zh-CN"/>
        </w:rPr>
        <w:t>38.24</w:t>
      </w:r>
      <w:r>
        <w:rPr>
          <w:rFonts w:hint="eastAsia" w:ascii="仿宋" w:hAnsi="仿宋" w:eastAsia="仿宋" w:cs="仿宋"/>
          <w:color w:val="auto"/>
          <w:sz w:val="32"/>
          <w:highlight w:val="none"/>
          <w:u w:val="none"/>
        </w:rPr>
        <w:t>%，主要原因是</w:t>
      </w:r>
      <w:r>
        <w:rPr>
          <w:rFonts w:hint="eastAsia" w:ascii="仿宋" w:hAnsi="仿宋" w:eastAsia="仿宋" w:cs="仿宋"/>
          <w:color w:val="auto"/>
          <w:sz w:val="32"/>
          <w:szCs w:val="32"/>
          <w:highlight w:val="none"/>
          <w:u w:val="none"/>
        </w:rPr>
        <w:t>霸州市卫生局和霸州市人口和计划生育局合并为霸州市卫生和计划生育局</w:t>
      </w:r>
      <w:r>
        <w:rPr>
          <w:rFonts w:hint="eastAsia" w:ascii="仿宋" w:hAnsi="仿宋" w:eastAsia="仿宋" w:cs="仿宋"/>
          <w:color w:val="auto"/>
          <w:sz w:val="32"/>
          <w:szCs w:val="32"/>
          <w:highlight w:val="none"/>
          <w:u w:val="none"/>
          <w:lang w:eastAsia="zh-CN"/>
        </w:rPr>
        <w:t>，卫生局</w:t>
      </w:r>
      <w:r>
        <w:rPr>
          <w:rFonts w:hint="eastAsia" w:ascii="仿宋" w:hAnsi="仿宋" w:eastAsia="仿宋" w:cs="仿宋"/>
          <w:color w:val="auto"/>
          <w:sz w:val="32"/>
          <w:szCs w:val="32"/>
          <w:highlight w:val="none"/>
          <w:u w:val="none"/>
          <w:lang w:val="en-US" w:eastAsia="zh-CN"/>
        </w:rPr>
        <w:t>2016年结余结转资金较大。</w:t>
      </w:r>
      <w:r>
        <w:rPr>
          <w:rFonts w:hint="eastAsia" w:ascii="仿宋" w:hAnsi="仿宋" w:eastAsia="仿宋" w:cs="仿宋"/>
          <w:color w:val="auto"/>
          <w:sz w:val="32"/>
          <w:szCs w:val="32"/>
          <w:highlight w:val="none"/>
          <w:u w:val="none"/>
        </w:rPr>
        <w:t>其中基本</w:t>
      </w:r>
      <w:r>
        <w:rPr>
          <w:rFonts w:hint="eastAsia" w:ascii="仿宋" w:hAnsi="仿宋" w:eastAsia="仿宋" w:cs="仿宋"/>
          <w:color w:val="auto"/>
          <w:sz w:val="32"/>
          <w:szCs w:val="32"/>
          <w:highlight w:val="none"/>
        </w:rPr>
        <w:t>支出减少2903.</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万元，项目支出增加4759.</w:t>
      </w:r>
      <w:r>
        <w:rPr>
          <w:rFonts w:hint="eastAsia" w:ascii="仿宋" w:hAnsi="仿宋" w:eastAsia="仿宋" w:cs="仿宋"/>
          <w:color w:val="auto"/>
          <w:sz w:val="32"/>
          <w:szCs w:val="32"/>
          <w:highlight w:val="none"/>
          <w:lang w:val="en-US" w:eastAsia="zh-CN"/>
        </w:rPr>
        <w:t>43</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w:t>
      </w:r>
    </w:p>
    <w:p>
      <w:pPr>
        <w:widowControl/>
        <w:spacing w:line="560" w:lineRule="exact"/>
        <w:ind w:firstLine="643" w:firstLineChars="200"/>
        <w:rPr>
          <w:rFonts w:hint="eastAsia" w:ascii="仿宋" w:hAnsi="仿宋" w:eastAsia="仿宋" w:cs="仿宋"/>
          <w:b/>
          <w:bCs/>
          <w:color w:val="auto"/>
          <w:sz w:val="32"/>
          <w:szCs w:val="22"/>
          <w:highlight w:val="none"/>
        </w:rPr>
      </w:pPr>
      <w:r>
        <w:rPr>
          <w:rFonts w:hint="eastAsia" w:ascii="仿宋" w:hAnsi="仿宋" w:eastAsia="仿宋" w:cs="仿宋"/>
          <w:b/>
          <w:bCs/>
          <w:color w:val="auto"/>
          <w:sz w:val="32"/>
          <w:szCs w:val="22"/>
          <w:highlight w:val="none"/>
        </w:rPr>
        <w:t>2、财政拨款收支与年初预算数对比情况</w:t>
      </w:r>
    </w:p>
    <w:p>
      <w:pPr>
        <w:snapToGrid w:val="0"/>
        <w:spacing w:line="560" w:lineRule="exact"/>
        <w:ind w:firstLine="640" w:firstLineChars="200"/>
        <w:rPr>
          <w:rFonts w:hint="eastAsia" w:ascii="仿宋" w:hAnsi="仿宋" w:eastAsia="仿宋" w:cs="仿宋"/>
          <w:color w:val="auto"/>
          <w:sz w:val="32"/>
          <w:highlight w:val="none"/>
          <w:shd w:val="clear"/>
        </w:rPr>
      </w:pPr>
      <w:r>
        <w:rPr>
          <w:rFonts w:hint="eastAsia" w:ascii="仿宋" w:hAnsi="仿宋" w:eastAsia="仿宋" w:cs="仿宋"/>
          <w:color w:val="auto"/>
          <w:sz w:val="32"/>
          <w:szCs w:val="32"/>
          <w:highlight w:val="none"/>
        </w:rPr>
        <w:t>霸州市卫生和计划生育局2017年财政拨款收入决算总计</w:t>
      </w:r>
      <w:r>
        <w:rPr>
          <w:rFonts w:hint="eastAsia" w:ascii="仿宋" w:hAnsi="仿宋" w:eastAsia="仿宋" w:cs="仿宋"/>
          <w:color w:val="auto"/>
          <w:sz w:val="32"/>
          <w:szCs w:val="32"/>
          <w:highlight w:val="none"/>
          <w:lang w:val="en-US" w:eastAsia="zh-CN"/>
        </w:rPr>
        <w:t>4438.96</w:t>
      </w:r>
      <w:r>
        <w:rPr>
          <w:rFonts w:hint="eastAsia" w:ascii="仿宋" w:hAnsi="仿宋" w:eastAsia="仿宋" w:cs="仿宋"/>
          <w:color w:val="auto"/>
          <w:sz w:val="32"/>
          <w:szCs w:val="32"/>
          <w:highlight w:val="none"/>
        </w:rPr>
        <w:t>万元，较年初预算</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2862.75</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下降</w:t>
      </w:r>
      <w:r>
        <w:rPr>
          <w:rFonts w:hint="eastAsia" w:ascii="仿宋" w:hAnsi="仿宋" w:eastAsia="仿宋" w:cs="仿宋"/>
          <w:color w:val="auto"/>
          <w:sz w:val="32"/>
          <w:highlight w:val="none"/>
          <w:lang w:val="en-US" w:eastAsia="zh-CN"/>
        </w:rPr>
        <w:t>39.21</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u w:val="none"/>
        </w:rPr>
        <w:t>霸州市卫生局和霸州市人口和计划生育局合并为霸州市卫生和计划生育局</w:t>
      </w:r>
      <w:r>
        <w:rPr>
          <w:rFonts w:hint="eastAsia" w:ascii="仿宋" w:hAnsi="仿宋" w:eastAsia="仿宋" w:cs="仿宋"/>
          <w:color w:val="auto"/>
          <w:sz w:val="32"/>
          <w:szCs w:val="32"/>
          <w:highlight w:val="none"/>
          <w:u w:val="none"/>
          <w:lang w:eastAsia="zh-CN"/>
        </w:rPr>
        <w:t>，卫生计生政策调整</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rPr>
        <w:t>其中，一般公共预算拨款</w:t>
      </w:r>
      <w:r>
        <w:rPr>
          <w:rFonts w:hint="eastAsia" w:ascii="仿宋" w:hAnsi="仿宋" w:eastAsia="仿宋" w:cs="仿宋"/>
          <w:color w:val="auto"/>
          <w:sz w:val="32"/>
          <w:szCs w:val="32"/>
          <w:highlight w:val="none"/>
          <w:lang w:val="en-US" w:eastAsia="zh-CN"/>
        </w:rPr>
        <w:t>减少2862.75</w:t>
      </w:r>
      <w:r>
        <w:rPr>
          <w:rFonts w:hint="eastAsia" w:ascii="仿宋" w:hAnsi="仿宋" w:eastAsia="仿宋" w:cs="仿宋"/>
          <w:color w:val="auto"/>
          <w:sz w:val="32"/>
          <w:szCs w:val="32"/>
          <w:highlight w:val="none"/>
        </w:rPr>
        <w:t>万元。2017年财政拨款支出决算总计</w:t>
      </w:r>
      <w:r>
        <w:rPr>
          <w:rFonts w:hint="eastAsia" w:ascii="仿宋" w:hAnsi="仿宋" w:eastAsia="仿宋" w:cs="仿宋"/>
          <w:color w:val="auto"/>
          <w:sz w:val="32"/>
          <w:szCs w:val="32"/>
          <w:highlight w:val="none"/>
          <w:u w:val="none"/>
          <w:lang w:val="en-US" w:eastAsia="zh-CN"/>
        </w:rPr>
        <w:t>4233.71</w:t>
      </w:r>
      <w:r>
        <w:rPr>
          <w:rFonts w:hint="eastAsia" w:ascii="仿宋" w:hAnsi="仿宋" w:eastAsia="仿宋" w:cs="仿宋"/>
          <w:color w:val="auto"/>
          <w:sz w:val="32"/>
          <w:szCs w:val="32"/>
          <w:highlight w:val="none"/>
        </w:rPr>
        <w:t>万元，较年初预算</w:t>
      </w:r>
      <w:r>
        <w:rPr>
          <w:rFonts w:hint="eastAsia" w:ascii="仿宋" w:hAnsi="仿宋" w:eastAsia="仿宋" w:cs="仿宋"/>
          <w:color w:val="auto"/>
          <w:sz w:val="32"/>
          <w:szCs w:val="32"/>
          <w:highlight w:val="none"/>
          <w:lang w:eastAsia="zh-CN"/>
        </w:rPr>
        <w:t>减少</w:t>
      </w:r>
      <w:r>
        <w:rPr>
          <w:rFonts w:hint="eastAsia" w:ascii="仿宋" w:hAnsi="仿宋" w:eastAsia="仿宋" w:cs="仿宋"/>
          <w:color w:val="auto"/>
          <w:sz w:val="32"/>
          <w:szCs w:val="32"/>
          <w:highlight w:val="none"/>
          <w:lang w:val="en-US" w:eastAsia="zh-CN"/>
        </w:rPr>
        <w:t>3068.00</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lang w:eastAsia="zh-CN"/>
        </w:rPr>
        <w:t>下降</w:t>
      </w:r>
      <w:r>
        <w:rPr>
          <w:rFonts w:hint="eastAsia" w:ascii="仿宋" w:hAnsi="仿宋" w:eastAsia="仿宋" w:cs="仿宋"/>
          <w:color w:val="auto"/>
          <w:sz w:val="32"/>
          <w:highlight w:val="none"/>
          <w:lang w:val="en-US" w:eastAsia="zh-CN"/>
        </w:rPr>
        <w:t>42.02</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u w:val="none"/>
        </w:rPr>
        <w:t>霸州市卫生局和霸州市人口和计划生育局合并为霸州市卫生和计划生育局</w:t>
      </w:r>
      <w:r>
        <w:rPr>
          <w:rFonts w:hint="eastAsia" w:ascii="仿宋" w:hAnsi="仿宋" w:eastAsia="仿宋" w:cs="仿宋"/>
          <w:color w:val="auto"/>
          <w:sz w:val="32"/>
          <w:szCs w:val="32"/>
          <w:highlight w:val="none"/>
          <w:u w:val="none"/>
          <w:lang w:eastAsia="zh-CN"/>
        </w:rPr>
        <w:t>，卫生计生政策调整</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shd w:val="clear"/>
        </w:rPr>
        <w:t>其中基本支出增加</w:t>
      </w:r>
      <w:r>
        <w:rPr>
          <w:rFonts w:hint="eastAsia" w:ascii="仿宋" w:hAnsi="仿宋" w:eastAsia="仿宋" w:cs="仿宋"/>
          <w:color w:val="auto"/>
          <w:sz w:val="32"/>
          <w:szCs w:val="32"/>
          <w:highlight w:val="none"/>
          <w:shd w:val="clear"/>
          <w:lang w:val="en-US" w:eastAsia="zh-CN"/>
        </w:rPr>
        <w:t>344.81</w:t>
      </w:r>
      <w:r>
        <w:rPr>
          <w:rFonts w:hint="eastAsia" w:ascii="仿宋" w:hAnsi="仿宋" w:eastAsia="仿宋" w:cs="仿宋"/>
          <w:color w:val="auto"/>
          <w:sz w:val="32"/>
          <w:szCs w:val="32"/>
          <w:highlight w:val="none"/>
          <w:shd w:val="clear"/>
        </w:rPr>
        <w:t>万元，项目支出</w:t>
      </w:r>
      <w:r>
        <w:rPr>
          <w:rFonts w:hint="eastAsia" w:ascii="仿宋" w:hAnsi="仿宋" w:eastAsia="仿宋" w:cs="仿宋"/>
          <w:color w:val="auto"/>
          <w:sz w:val="32"/>
          <w:szCs w:val="32"/>
          <w:highlight w:val="none"/>
          <w:shd w:val="clear"/>
          <w:lang w:eastAsia="zh-CN"/>
        </w:rPr>
        <w:t>减少</w:t>
      </w:r>
      <w:r>
        <w:rPr>
          <w:rFonts w:hint="eastAsia" w:ascii="仿宋" w:hAnsi="仿宋" w:eastAsia="仿宋" w:cs="仿宋"/>
          <w:color w:val="auto"/>
          <w:sz w:val="32"/>
          <w:szCs w:val="32"/>
          <w:highlight w:val="none"/>
          <w:shd w:val="clear"/>
          <w:lang w:val="en-US" w:eastAsia="zh-CN"/>
        </w:rPr>
        <w:t>3174.79</w:t>
      </w:r>
      <w:r>
        <w:rPr>
          <w:rFonts w:hint="eastAsia" w:ascii="仿宋" w:hAnsi="仿宋" w:eastAsia="仿宋" w:cs="仿宋"/>
          <w:color w:val="auto"/>
          <w:sz w:val="32"/>
          <w:szCs w:val="32"/>
          <w:highlight w:val="none"/>
          <w:shd w:val="clear"/>
        </w:rPr>
        <w:t>万元</w:t>
      </w:r>
      <w:r>
        <w:rPr>
          <w:rFonts w:hint="eastAsia" w:ascii="仿宋" w:hAnsi="仿宋" w:eastAsia="仿宋" w:cs="仿宋"/>
          <w:color w:val="auto"/>
          <w:sz w:val="32"/>
          <w:highlight w:val="none"/>
          <w:shd w:val="clear"/>
        </w:rPr>
        <w:t>。</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（五）“三公”经费支出决算情况说明</w:t>
      </w:r>
    </w:p>
    <w:p>
      <w:pPr>
        <w:widowControl/>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2017年度部门“三公”经费支出8.02万元，比预算减少1.98万元，比2016年度决算减少5.5</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万元。原因是认真贯彻落实中央、省、市关于厉行节约的各项要求，进一步严控“三公经费”开支。其中：因公出国（境）费0万元（本单位2017年度组织出国（境）团组0个，因公出国（境）人次数0人），与预算持平，与2016年度决算持平；公务用车购置及运行维护费8.02万元（公务用车购置数量0辆，购置金额0万元，公车运行维护费8.02万元，年末公务用车保有量</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辆），比预算减少</w:t>
      </w:r>
      <w:r>
        <w:rPr>
          <w:rFonts w:hint="eastAsia" w:ascii="仿宋" w:hAnsi="仿宋" w:eastAsia="仿宋" w:cs="仿宋"/>
          <w:color w:val="auto"/>
          <w:sz w:val="32"/>
          <w:szCs w:val="32"/>
          <w:highlight w:val="none"/>
          <w:lang w:val="en-US" w:eastAsia="zh-CN"/>
        </w:rPr>
        <w:t>1.98</w:t>
      </w:r>
      <w:r>
        <w:rPr>
          <w:rFonts w:hint="eastAsia" w:ascii="仿宋" w:hAnsi="仿宋" w:eastAsia="仿宋" w:cs="仿宋"/>
          <w:color w:val="auto"/>
          <w:sz w:val="32"/>
          <w:szCs w:val="32"/>
          <w:highlight w:val="none"/>
        </w:rPr>
        <w:t>万元，比2016年度决算减少5.5</w:t>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万元，原因是认真贯彻落实中央、省、市关于厉行节约的各项要求，进一步严控“三公经费”开支；公务接待费0万元（2017年度国内公务接待0批次，合计接待0人次），与预算持平，与2016年度决算持平。</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（六）预算绩效管理工作开展情况说明</w:t>
      </w:r>
    </w:p>
    <w:p>
      <w:pPr>
        <w:autoSpaceDE w:val="0"/>
        <w:autoSpaceDN w:val="0"/>
        <w:snapToGrid w:val="0"/>
        <w:spacing w:line="560" w:lineRule="exact"/>
        <w:ind w:firstLine="643" w:firstLineChars="200"/>
        <w:rPr>
          <w:rFonts w:hint="eastAsia" w:ascii="仿宋" w:hAnsi="仿宋" w:eastAsia="仿宋" w:cs="仿宋"/>
          <w:b/>
          <w:bCs/>
          <w:color w:val="auto"/>
          <w:kern w:val="0"/>
          <w:sz w:val="32"/>
          <w:szCs w:val="32"/>
          <w:highlight w:val="none"/>
          <w:shd w:val="clear" w:color="auto" w:fill="FFFFFF"/>
        </w:rPr>
      </w:pPr>
      <w:r>
        <w:rPr>
          <w:rFonts w:hint="eastAsia" w:ascii="仿宋" w:hAnsi="仿宋" w:eastAsia="仿宋" w:cs="仿宋"/>
          <w:b/>
          <w:bCs/>
          <w:color w:val="auto"/>
          <w:kern w:val="0"/>
          <w:sz w:val="32"/>
          <w:szCs w:val="32"/>
          <w:highlight w:val="none"/>
          <w:shd w:val="clear" w:color="auto" w:fill="FFFFFF"/>
        </w:rPr>
        <w:t>1、预算绩效管理工作开展情况</w:t>
      </w:r>
    </w:p>
    <w:p>
      <w:pPr>
        <w:autoSpaceDE w:val="0"/>
        <w:autoSpaceDN w:val="0"/>
        <w:snapToGrid w:val="0"/>
        <w:spacing w:line="560" w:lineRule="exact"/>
        <w:ind w:firstLine="640" w:firstLineChars="200"/>
        <w:rPr>
          <w:rFonts w:hint="eastAsia" w:ascii="仿宋" w:hAnsi="仿宋" w:eastAsia="仿宋" w:cs="仿宋"/>
          <w:color w:val="auto"/>
          <w:kern w:val="0"/>
          <w:sz w:val="32"/>
          <w:szCs w:val="32"/>
          <w:highlight w:val="none"/>
          <w:shd w:val="clear" w:color="auto" w:fill="FFFFFF"/>
        </w:rPr>
      </w:pPr>
      <w:r>
        <w:rPr>
          <w:rFonts w:hint="eastAsia" w:ascii="仿宋" w:hAnsi="仿宋" w:eastAsia="仿宋" w:cs="仿宋"/>
          <w:color w:val="auto"/>
          <w:kern w:val="0"/>
          <w:sz w:val="32"/>
          <w:szCs w:val="32"/>
          <w:highlight w:val="none"/>
          <w:shd w:val="clear" w:color="auto" w:fill="FFFFFF"/>
        </w:rPr>
        <w:t>本部门对2017年公共卫生、医疗救治、</w:t>
      </w:r>
      <w:r>
        <w:rPr>
          <w:rFonts w:hint="eastAsia" w:ascii="仿宋" w:hAnsi="仿宋" w:eastAsia="仿宋" w:cs="仿宋"/>
          <w:color w:val="auto"/>
          <w:sz w:val="32"/>
          <w:szCs w:val="32"/>
          <w:highlight w:val="none"/>
        </w:rPr>
        <w:t>建立卫生计生人才培训基地，开展医学技术跟踪和适宜技术推广</w:t>
      </w:r>
      <w:r>
        <w:rPr>
          <w:rFonts w:hint="eastAsia" w:ascii="仿宋" w:hAnsi="仿宋" w:eastAsia="仿宋" w:cs="仿宋"/>
          <w:color w:val="auto"/>
          <w:kern w:val="0"/>
          <w:sz w:val="32"/>
          <w:szCs w:val="32"/>
          <w:highlight w:val="none"/>
          <w:shd w:val="clear" w:color="auto" w:fill="FFFFFF"/>
        </w:rPr>
        <w:t>等工作进行了绩效评价。</w:t>
      </w:r>
    </w:p>
    <w:p>
      <w:pPr>
        <w:autoSpaceDE w:val="0"/>
        <w:autoSpaceDN w:val="0"/>
        <w:snapToGrid w:val="0"/>
        <w:spacing w:line="560" w:lineRule="exact"/>
        <w:ind w:firstLine="643" w:firstLineChars="200"/>
        <w:rPr>
          <w:rFonts w:hint="eastAsia" w:ascii="仿宋" w:hAnsi="仿宋" w:eastAsia="仿宋" w:cs="仿宋"/>
          <w:b/>
          <w:bCs/>
          <w:color w:val="auto"/>
          <w:kern w:val="0"/>
          <w:sz w:val="32"/>
          <w:szCs w:val="32"/>
          <w:highlight w:val="none"/>
          <w:shd w:val="clear" w:color="auto" w:fill="FFFFFF"/>
        </w:rPr>
      </w:pPr>
      <w:r>
        <w:rPr>
          <w:rFonts w:hint="eastAsia" w:ascii="仿宋" w:hAnsi="仿宋" w:eastAsia="仿宋" w:cs="仿宋"/>
          <w:b/>
          <w:bCs/>
          <w:color w:val="auto"/>
          <w:kern w:val="0"/>
          <w:sz w:val="32"/>
          <w:szCs w:val="32"/>
          <w:highlight w:val="none"/>
          <w:shd w:val="clear" w:color="auto" w:fill="FFFFFF"/>
        </w:rPr>
        <w:t>2、预算项目绩效评价开展情况</w:t>
      </w:r>
    </w:p>
    <w:p>
      <w:pPr>
        <w:autoSpaceDE w:val="0"/>
        <w:autoSpaceDN w:val="0"/>
        <w:snapToGrid w:val="0"/>
        <w:spacing w:line="560" w:lineRule="exact"/>
        <w:ind w:firstLine="640" w:firstLineChars="200"/>
        <w:rPr>
          <w:rFonts w:hint="eastAsia" w:ascii="仿宋" w:hAnsi="仿宋" w:eastAsia="仿宋" w:cs="仿宋"/>
          <w:color w:val="auto"/>
          <w:kern w:val="0"/>
          <w:sz w:val="32"/>
          <w:szCs w:val="32"/>
          <w:highlight w:val="none"/>
          <w:shd w:val="clear" w:color="auto" w:fill="FFFFFF"/>
        </w:rPr>
      </w:pPr>
      <w:r>
        <w:rPr>
          <w:rFonts w:hint="eastAsia" w:ascii="仿宋" w:hAnsi="仿宋" w:eastAsia="仿宋" w:cs="仿宋"/>
          <w:color w:val="auto"/>
          <w:kern w:val="0"/>
          <w:sz w:val="32"/>
          <w:szCs w:val="32"/>
          <w:highlight w:val="none"/>
          <w:shd w:val="clear" w:color="auto" w:fill="FFFFFF"/>
        </w:rPr>
        <w:t>针对工作中可能出现的问题和执行情况进行了分类打分，优化整顿，评价的结果是使各项工作更加完善合理，提高了工作效率。</w:t>
      </w:r>
    </w:p>
    <w:p>
      <w:pPr>
        <w:snapToGrid w:val="0"/>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（七）其他重要事项的说明</w:t>
      </w:r>
    </w:p>
    <w:p>
      <w:pPr>
        <w:widowControl/>
        <w:spacing w:line="56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bCs/>
          <w:color w:val="auto"/>
          <w:sz w:val="32"/>
          <w:szCs w:val="32"/>
          <w:highlight w:val="none"/>
        </w:rPr>
        <w:t>1、机关运行经费情况：</w:t>
      </w:r>
      <w:r>
        <w:rPr>
          <w:rFonts w:hint="eastAsia" w:ascii="仿宋" w:hAnsi="仿宋" w:eastAsia="仿宋" w:cs="仿宋"/>
          <w:color w:val="auto"/>
          <w:sz w:val="32"/>
          <w:szCs w:val="32"/>
          <w:highlight w:val="none"/>
        </w:rPr>
        <w:t>2017年度部门机关运行经费支出160.79万元，比2016年度增加</w:t>
      </w:r>
      <w:r>
        <w:rPr>
          <w:rFonts w:hint="eastAsia" w:ascii="仿宋" w:hAnsi="仿宋" w:eastAsia="仿宋" w:cs="仿宋"/>
          <w:color w:val="auto"/>
          <w:sz w:val="32"/>
          <w:szCs w:val="32"/>
          <w:highlight w:val="none"/>
          <w:lang w:val="en-US" w:eastAsia="zh-CN"/>
        </w:rPr>
        <w:t>7.09</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增长</w:t>
      </w:r>
      <w:r>
        <w:rPr>
          <w:rFonts w:hint="eastAsia" w:ascii="仿宋" w:hAnsi="仿宋" w:eastAsia="仿宋" w:cs="仿宋"/>
          <w:color w:val="auto"/>
          <w:sz w:val="32"/>
          <w:highlight w:val="none"/>
          <w:lang w:val="en-US" w:eastAsia="zh-CN"/>
        </w:rPr>
        <w:t>4.61</w:t>
      </w:r>
      <w:r>
        <w:rPr>
          <w:rFonts w:hint="eastAsia" w:ascii="仿宋" w:hAnsi="仿宋" w:eastAsia="仿宋" w:cs="仿宋"/>
          <w:color w:val="auto"/>
          <w:sz w:val="32"/>
          <w:highlight w:val="none"/>
        </w:rPr>
        <w:t>%。主要</w:t>
      </w:r>
      <w:r>
        <w:rPr>
          <w:rFonts w:hint="eastAsia" w:ascii="仿宋" w:hAnsi="仿宋" w:eastAsia="仿宋" w:cs="仿宋"/>
          <w:color w:val="auto"/>
          <w:sz w:val="32"/>
          <w:szCs w:val="32"/>
          <w:highlight w:val="none"/>
        </w:rPr>
        <w:t>原因是</w:t>
      </w:r>
      <w:r>
        <w:rPr>
          <w:rFonts w:hint="eastAsia" w:ascii="仿宋" w:hAnsi="仿宋" w:eastAsia="仿宋" w:cs="仿宋"/>
          <w:color w:val="auto"/>
          <w:sz w:val="32"/>
          <w:szCs w:val="32"/>
          <w:highlight w:val="none"/>
          <w:u w:val="none"/>
        </w:rPr>
        <w:t>霸州市卫生局和霸州市人口和计划生育局合并为霸州市卫生和计划生育局。</w:t>
      </w:r>
    </w:p>
    <w:p>
      <w:pPr>
        <w:autoSpaceDE w:val="0"/>
        <w:autoSpaceDN w:val="0"/>
        <w:snapToGrid w:val="0"/>
        <w:spacing w:line="560" w:lineRule="exact"/>
        <w:ind w:firstLine="643" w:firstLineChars="200"/>
        <w:rPr>
          <w:rFonts w:hint="eastAsia" w:ascii="仿宋" w:hAnsi="仿宋" w:eastAsia="仿宋" w:cs="仿宋"/>
          <w:color w:val="auto"/>
          <w:kern w:val="0"/>
          <w:sz w:val="32"/>
          <w:szCs w:val="32"/>
          <w:highlight w:val="none"/>
          <w:shd w:val="clear" w:color="auto" w:fill="FFFFFF"/>
        </w:rPr>
      </w:pPr>
      <w:r>
        <w:rPr>
          <w:rFonts w:hint="eastAsia" w:ascii="仿宋" w:hAnsi="仿宋" w:eastAsia="仿宋" w:cs="仿宋"/>
          <w:b/>
          <w:bCs/>
          <w:color w:val="auto"/>
          <w:sz w:val="32"/>
          <w:szCs w:val="32"/>
          <w:highlight w:val="none"/>
        </w:rPr>
        <w:t>2、政府采购情况：</w:t>
      </w:r>
      <w:r>
        <w:rPr>
          <w:rFonts w:hint="eastAsia" w:ascii="仿宋" w:hAnsi="仿宋" w:eastAsia="仿宋" w:cs="仿宋"/>
          <w:color w:val="auto"/>
          <w:kern w:val="0"/>
          <w:sz w:val="32"/>
          <w:szCs w:val="32"/>
          <w:highlight w:val="none"/>
          <w:shd w:val="clear" w:color="auto" w:fill="FFFFFF"/>
        </w:rPr>
        <w:t>2017年度部门政府采购支出</w:t>
      </w:r>
      <w:r>
        <w:rPr>
          <w:rFonts w:hint="eastAsia" w:ascii="仿宋" w:hAnsi="仿宋" w:eastAsia="仿宋" w:cs="仿宋"/>
          <w:color w:val="auto"/>
          <w:sz w:val="32"/>
          <w:szCs w:val="32"/>
          <w:highlight w:val="none"/>
        </w:rPr>
        <w:t>424.13</w:t>
      </w:r>
      <w:r>
        <w:rPr>
          <w:rFonts w:hint="eastAsia" w:ascii="仿宋" w:hAnsi="仿宋" w:eastAsia="仿宋" w:cs="仿宋"/>
          <w:color w:val="auto"/>
          <w:kern w:val="0"/>
          <w:sz w:val="32"/>
          <w:szCs w:val="32"/>
          <w:highlight w:val="none"/>
          <w:shd w:val="clear" w:color="auto" w:fill="FFFFFF"/>
        </w:rPr>
        <w:t>万元，其中：政府采购货物支出</w:t>
      </w:r>
      <w:r>
        <w:rPr>
          <w:rFonts w:hint="eastAsia" w:ascii="仿宋" w:hAnsi="仿宋" w:eastAsia="仿宋" w:cs="仿宋"/>
          <w:color w:val="auto"/>
          <w:sz w:val="32"/>
          <w:szCs w:val="32"/>
          <w:highlight w:val="none"/>
        </w:rPr>
        <w:t>376.05</w:t>
      </w:r>
      <w:r>
        <w:rPr>
          <w:rFonts w:hint="eastAsia" w:ascii="仿宋" w:hAnsi="仿宋" w:eastAsia="仿宋" w:cs="仿宋"/>
          <w:color w:val="auto"/>
          <w:kern w:val="0"/>
          <w:sz w:val="32"/>
          <w:szCs w:val="32"/>
          <w:highlight w:val="none"/>
          <w:shd w:val="clear" w:color="auto" w:fill="FFFFFF"/>
        </w:rPr>
        <w:t>万元，政府采购工程支出</w:t>
      </w:r>
      <w:r>
        <w:rPr>
          <w:rFonts w:hint="eastAsia" w:ascii="仿宋" w:hAnsi="仿宋" w:eastAsia="仿宋" w:cs="仿宋"/>
          <w:color w:val="auto"/>
          <w:sz w:val="32"/>
          <w:szCs w:val="32"/>
          <w:highlight w:val="none"/>
        </w:rPr>
        <w:t>48.08</w:t>
      </w:r>
      <w:r>
        <w:rPr>
          <w:rFonts w:hint="eastAsia" w:ascii="仿宋" w:hAnsi="仿宋" w:eastAsia="仿宋" w:cs="仿宋"/>
          <w:color w:val="auto"/>
          <w:kern w:val="0"/>
          <w:sz w:val="32"/>
          <w:szCs w:val="32"/>
          <w:highlight w:val="none"/>
          <w:shd w:val="clear" w:color="auto" w:fill="FFFFFF"/>
        </w:rPr>
        <w:t>万元，政府采购服务支出</w:t>
      </w:r>
      <w:r>
        <w:rPr>
          <w:rFonts w:hint="eastAsia" w:ascii="仿宋" w:hAnsi="仿宋" w:eastAsia="仿宋" w:cs="仿宋"/>
          <w:color w:val="auto"/>
          <w:sz w:val="32"/>
          <w:szCs w:val="32"/>
          <w:highlight w:val="none"/>
        </w:rPr>
        <w:t>0.00</w:t>
      </w:r>
      <w:r>
        <w:rPr>
          <w:rFonts w:hint="eastAsia" w:ascii="仿宋" w:hAnsi="仿宋" w:eastAsia="仿宋" w:cs="仿宋"/>
          <w:color w:val="auto"/>
          <w:kern w:val="0"/>
          <w:sz w:val="32"/>
          <w:szCs w:val="32"/>
          <w:highlight w:val="none"/>
          <w:shd w:val="clear" w:color="auto" w:fill="FFFFFF"/>
        </w:rPr>
        <w:t>万元。</w:t>
      </w:r>
    </w:p>
    <w:tbl>
      <w:tblPr>
        <w:tblStyle w:val="4"/>
        <w:tblW w:w="8534" w:type="dxa"/>
        <w:tblInd w:w="0" w:type="dxa"/>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2262"/>
        <w:gridCol w:w="1045"/>
        <w:gridCol w:w="1045"/>
        <w:gridCol w:w="1045"/>
        <w:gridCol w:w="1045"/>
        <w:gridCol w:w="1047"/>
        <w:gridCol w:w="1045"/>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restart"/>
            <w:tcBorders>
              <w:top w:val="double" w:color="000000" w:sz="4" w:space="0"/>
            </w:tcBorders>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项目</w:t>
            </w:r>
          </w:p>
        </w:tc>
        <w:tc>
          <w:tcPr>
            <w:tcW w:w="6272" w:type="dxa"/>
            <w:gridSpan w:val="6"/>
            <w:tcBorders>
              <w:top w:val="double" w:color="000000" w:sz="4" w:space="0"/>
            </w:tcBorders>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实际采购金额</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continue"/>
            <w:vAlign w:val="center"/>
          </w:tcPr>
          <w:p>
            <w:pPr>
              <w:jc w:val="center"/>
              <w:rPr>
                <w:rFonts w:hint="eastAsia" w:ascii="仿宋" w:hAnsi="仿宋" w:eastAsia="仿宋" w:cs="仿宋"/>
                <w:color w:val="auto"/>
                <w:sz w:val="22"/>
                <w:szCs w:val="22"/>
                <w:highlight w:val="none"/>
              </w:rPr>
            </w:pPr>
          </w:p>
        </w:tc>
        <w:tc>
          <w:tcPr>
            <w:tcW w:w="1045" w:type="dxa"/>
            <w:vMerge w:val="restart"/>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总计</w:t>
            </w:r>
          </w:p>
        </w:tc>
        <w:tc>
          <w:tcPr>
            <w:tcW w:w="4182" w:type="dxa"/>
            <w:gridSpan w:val="4"/>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采购预算(财政性资金)</w:t>
            </w:r>
          </w:p>
        </w:tc>
        <w:tc>
          <w:tcPr>
            <w:tcW w:w="1045" w:type="dxa"/>
            <w:vMerge w:val="restart"/>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非财政性资金</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Merge w:val="continue"/>
            <w:vAlign w:val="center"/>
          </w:tcPr>
          <w:p>
            <w:pPr>
              <w:jc w:val="center"/>
              <w:rPr>
                <w:rFonts w:hint="eastAsia" w:ascii="仿宋" w:hAnsi="仿宋" w:eastAsia="仿宋" w:cs="仿宋"/>
                <w:color w:val="auto"/>
                <w:sz w:val="22"/>
                <w:szCs w:val="22"/>
                <w:highlight w:val="none"/>
              </w:rPr>
            </w:pPr>
          </w:p>
        </w:tc>
        <w:tc>
          <w:tcPr>
            <w:tcW w:w="1045" w:type="dxa"/>
            <w:vMerge w:val="continue"/>
            <w:vAlign w:val="center"/>
          </w:tcPr>
          <w:p>
            <w:pPr>
              <w:jc w:val="center"/>
              <w:rPr>
                <w:rFonts w:hint="eastAsia" w:ascii="仿宋" w:hAnsi="仿宋" w:eastAsia="仿宋" w:cs="仿宋"/>
                <w:color w:val="auto"/>
                <w:sz w:val="22"/>
                <w:szCs w:val="22"/>
                <w:highlight w:val="none"/>
              </w:rPr>
            </w:pP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合计</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一般公共预算</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政府性基金预算</w:t>
            </w:r>
          </w:p>
        </w:tc>
        <w:tc>
          <w:tcPr>
            <w:tcW w:w="1047"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其他资金</w:t>
            </w:r>
          </w:p>
        </w:tc>
        <w:tc>
          <w:tcPr>
            <w:tcW w:w="1045" w:type="dxa"/>
            <w:vMerge w:val="continue"/>
            <w:vAlign w:val="center"/>
          </w:tcPr>
          <w:p>
            <w:pPr>
              <w:jc w:val="center"/>
              <w:rPr>
                <w:rFonts w:hint="eastAsia" w:ascii="仿宋" w:hAnsi="仿宋" w:eastAsia="仿宋" w:cs="仿宋"/>
                <w:color w:val="auto"/>
                <w:sz w:val="22"/>
                <w:szCs w:val="22"/>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栏次</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1</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2</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3</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w:t>
            </w:r>
          </w:p>
        </w:tc>
        <w:tc>
          <w:tcPr>
            <w:tcW w:w="1047"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5</w:t>
            </w:r>
          </w:p>
        </w:tc>
        <w:tc>
          <w:tcPr>
            <w:tcW w:w="1045"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6</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合      计</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424.13</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424.13</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424.13</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7"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货物</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376.05</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376.05</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376.05</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7"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工程</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48.08</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48.08</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48.08</w:t>
            </w: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7"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01" w:hRule="atLeast"/>
        </w:trPr>
        <w:tc>
          <w:tcPr>
            <w:tcW w:w="2262" w:type="dxa"/>
            <w:tcBorders>
              <w:bottom w:val="double" w:color="000000" w:sz="4" w:space="0"/>
            </w:tcBorders>
            <w:vAlign w:val="center"/>
          </w:tcPr>
          <w:p>
            <w:pPr>
              <w:widowControl/>
              <w:jc w:val="center"/>
              <w:textAlignment w:val="center"/>
              <w:rPr>
                <w:rFonts w:hint="eastAsia" w:ascii="仿宋" w:hAnsi="仿宋" w:eastAsia="仿宋" w:cs="仿宋"/>
                <w:color w:val="auto"/>
                <w:sz w:val="22"/>
                <w:szCs w:val="22"/>
                <w:highlight w:val="none"/>
              </w:rPr>
            </w:pPr>
            <w:r>
              <w:rPr>
                <w:rFonts w:hint="eastAsia" w:ascii="仿宋" w:hAnsi="仿宋" w:eastAsia="仿宋" w:cs="仿宋"/>
                <w:color w:val="auto"/>
                <w:kern w:val="0"/>
                <w:sz w:val="22"/>
                <w:szCs w:val="22"/>
                <w:highlight w:val="none"/>
              </w:rPr>
              <w:t>服务</w:t>
            </w:r>
          </w:p>
        </w:tc>
        <w:tc>
          <w:tcPr>
            <w:tcW w:w="1045"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7"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c>
          <w:tcPr>
            <w:tcW w:w="1045" w:type="dxa"/>
            <w:tcBorders>
              <w:bottom w:val="double" w:color="000000" w:sz="4" w:space="0"/>
            </w:tcBorders>
            <w:vAlign w:val="center"/>
          </w:tcPr>
          <w:p>
            <w:pPr>
              <w:widowControl/>
              <w:ind w:left="0" w:leftChars="0" w:right="0" w:rightChars="0" w:firstLine="0" w:firstLineChars="0"/>
              <w:jc w:val="center"/>
              <w:textAlignment w:val="center"/>
              <w:rPr>
                <w:rFonts w:hint="eastAsia" w:ascii="仿宋" w:hAnsi="仿宋" w:eastAsia="仿宋" w:cs="仿宋"/>
                <w:color w:val="auto"/>
                <w:sz w:val="22"/>
                <w:szCs w:val="22"/>
                <w:highlight w:val="none"/>
              </w:rPr>
            </w:pPr>
          </w:p>
        </w:tc>
      </w:tr>
    </w:tbl>
    <w:p>
      <w:pPr>
        <w:widowControl/>
        <w:spacing w:line="560" w:lineRule="exact"/>
        <w:ind w:firstLine="643" w:firstLineChars="200"/>
        <w:rPr>
          <w:rFonts w:hint="eastAsia" w:ascii="仿宋" w:hAnsi="仿宋" w:eastAsia="仿宋" w:cs="仿宋"/>
          <w:color w:val="auto"/>
          <w:kern w:val="0"/>
          <w:sz w:val="32"/>
          <w:szCs w:val="32"/>
          <w:highlight w:val="none"/>
          <w:shd w:val="clear" w:color="auto" w:fill="FFFFFF"/>
          <w:lang w:val="en-US" w:eastAsia="zh-CN"/>
        </w:rPr>
      </w:pPr>
      <w:r>
        <w:rPr>
          <w:rFonts w:hint="eastAsia" w:ascii="仿宋" w:hAnsi="仿宋" w:eastAsia="仿宋" w:cs="仿宋"/>
          <w:b/>
          <w:bCs/>
          <w:color w:val="auto"/>
          <w:sz w:val="32"/>
          <w:szCs w:val="32"/>
          <w:highlight w:val="none"/>
        </w:rPr>
        <w:t>3、国有资产占用情况:</w:t>
      </w:r>
      <w:r>
        <w:rPr>
          <w:rFonts w:hint="eastAsia" w:ascii="仿宋" w:hAnsi="仿宋" w:eastAsia="仿宋" w:cs="仿宋"/>
          <w:color w:val="auto"/>
          <w:kern w:val="0"/>
          <w:sz w:val="32"/>
          <w:szCs w:val="32"/>
          <w:highlight w:val="none"/>
          <w:shd w:val="clear" w:color="auto" w:fill="FFFFFF"/>
        </w:rPr>
        <w:t>截至2017年12月31日，本部门共有车辆</w:t>
      </w:r>
      <w:r>
        <w:rPr>
          <w:rFonts w:hint="eastAsia" w:ascii="仿宋" w:hAnsi="仿宋" w:eastAsia="仿宋" w:cs="仿宋"/>
          <w:color w:val="auto"/>
          <w:kern w:val="0"/>
          <w:sz w:val="32"/>
          <w:szCs w:val="32"/>
          <w:highlight w:val="none"/>
          <w:shd w:val="clear" w:color="auto" w:fill="FFFFFF"/>
          <w:lang w:val="en-US" w:eastAsia="zh-CN"/>
        </w:rPr>
        <w:t>2</w:t>
      </w:r>
      <w:r>
        <w:rPr>
          <w:rFonts w:hint="eastAsia" w:ascii="仿宋" w:hAnsi="仿宋" w:eastAsia="仿宋" w:cs="仿宋"/>
          <w:color w:val="auto"/>
          <w:kern w:val="0"/>
          <w:sz w:val="32"/>
          <w:szCs w:val="32"/>
          <w:highlight w:val="none"/>
          <w:shd w:val="clear" w:color="auto" w:fill="FFFFFF"/>
        </w:rPr>
        <w:t>辆，其中，一般公务用车</w:t>
      </w:r>
      <w:r>
        <w:rPr>
          <w:rFonts w:hint="eastAsia" w:ascii="仿宋" w:hAnsi="仿宋" w:eastAsia="仿宋" w:cs="仿宋"/>
          <w:color w:val="auto"/>
          <w:kern w:val="0"/>
          <w:sz w:val="32"/>
          <w:szCs w:val="32"/>
          <w:highlight w:val="none"/>
          <w:shd w:val="clear" w:color="auto" w:fill="FFFFFF"/>
          <w:lang w:val="en-US" w:eastAsia="zh-CN"/>
        </w:rPr>
        <w:t>2</w:t>
      </w:r>
      <w:r>
        <w:rPr>
          <w:rFonts w:hint="eastAsia" w:ascii="仿宋" w:hAnsi="仿宋" w:eastAsia="仿宋" w:cs="仿宋"/>
          <w:color w:val="auto"/>
          <w:kern w:val="0"/>
          <w:sz w:val="32"/>
          <w:szCs w:val="32"/>
          <w:highlight w:val="none"/>
          <w:shd w:val="clear" w:color="auto" w:fill="FFFFFF"/>
        </w:rPr>
        <w:t>辆</w:t>
      </w:r>
      <w:r>
        <w:rPr>
          <w:rFonts w:hint="eastAsia" w:ascii="仿宋" w:hAnsi="仿宋" w:eastAsia="仿宋" w:cs="仿宋"/>
          <w:color w:val="auto"/>
          <w:kern w:val="0"/>
          <w:sz w:val="32"/>
          <w:szCs w:val="32"/>
          <w:highlight w:val="none"/>
          <w:shd w:val="clear" w:color="auto" w:fill="FFFFFF"/>
          <w:lang w:eastAsia="zh-CN"/>
        </w:rPr>
        <w:t>；</w:t>
      </w:r>
      <w:r>
        <w:rPr>
          <w:rFonts w:hint="eastAsia" w:ascii="仿宋" w:hAnsi="仿宋" w:eastAsia="仿宋" w:cs="仿宋"/>
          <w:color w:val="auto"/>
          <w:kern w:val="0"/>
          <w:sz w:val="32"/>
          <w:szCs w:val="32"/>
          <w:highlight w:val="none"/>
          <w:shd w:val="clear" w:color="auto" w:fill="FFFFFF"/>
        </w:rPr>
        <w:t>单位价值50万元以上通用设备</w:t>
      </w:r>
      <w:r>
        <w:rPr>
          <w:rFonts w:hint="eastAsia" w:ascii="仿宋" w:hAnsi="仿宋" w:eastAsia="仿宋" w:cs="仿宋"/>
          <w:color w:val="auto"/>
          <w:kern w:val="0"/>
          <w:sz w:val="32"/>
          <w:szCs w:val="32"/>
          <w:highlight w:val="none"/>
          <w:shd w:val="clear" w:color="auto" w:fill="FFFFFF"/>
          <w:lang w:val="en-US" w:eastAsia="zh-CN"/>
        </w:rPr>
        <w:t>0</w:t>
      </w:r>
      <w:r>
        <w:rPr>
          <w:rFonts w:hint="eastAsia" w:ascii="仿宋" w:hAnsi="仿宋" w:eastAsia="仿宋" w:cs="仿宋"/>
          <w:color w:val="auto"/>
          <w:kern w:val="0"/>
          <w:sz w:val="32"/>
          <w:szCs w:val="32"/>
          <w:highlight w:val="none"/>
          <w:shd w:val="clear" w:color="auto" w:fill="FFFFFF"/>
        </w:rPr>
        <w:t>台（套），单价100万元以上专用设备</w:t>
      </w:r>
      <w:r>
        <w:rPr>
          <w:rFonts w:hint="eastAsia" w:ascii="仿宋" w:hAnsi="仿宋" w:eastAsia="仿宋" w:cs="仿宋"/>
          <w:color w:val="auto"/>
          <w:kern w:val="0"/>
          <w:sz w:val="32"/>
          <w:szCs w:val="32"/>
          <w:highlight w:val="none"/>
          <w:shd w:val="clear" w:color="auto" w:fill="FFFFFF"/>
          <w:lang w:val="en-US" w:eastAsia="zh-CN"/>
        </w:rPr>
        <w:t>0</w:t>
      </w:r>
      <w:r>
        <w:rPr>
          <w:rFonts w:hint="eastAsia" w:ascii="仿宋" w:hAnsi="仿宋" w:eastAsia="仿宋" w:cs="仿宋"/>
          <w:color w:val="auto"/>
          <w:kern w:val="0"/>
          <w:sz w:val="32"/>
          <w:szCs w:val="32"/>
          <w:highlight w:val="none"/>
          <w:shd w:val="clear" w:color="auto" w:fill="FFFFFF"/>
        </w:rPr>
        <w:t>台（套）</w:t>
      </w:r>
      <w:r>
        <w:rPr>
          <w:rFonts w:hint="eastAsia" w:ascii="仿宋" w:hAnsi="仿宋" w:eastAsia="仿宋" w:cs="仿宋"/>
          <w:color w:val="auto"/>
          <w:kern w:val="0"/>
          <w:sz w:val="32"/>
          <w:szCs w:val="32"/>
          <w:highlight w:val="none"/>
          <w:shd w:val="clear" w:color="auto" w:fill="FFFFFF"/>
          <w:lang w:val="en-US" w:eastAsia="zh-CN"/>
        </w:rPr>
        <w:t>。</w:t>
      </w:r>
    </w:p>
    <w:tbl>
      <w:tblPr>
        <w:tblStyle w:val="4"/>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霸州市卫生和计划生育局部门固定资产占用情况表</w:t>
            </w: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编制部门：霸州市卫生和计划生育局</w:t>
            </w:r>
          </w:p>
        </w:tc>
        <w:tc>
          <w:tcPr>
            <w:tcW w:w="3370" w:type="dxa"/>
            <w:tcBorders>
              <w:top w:val="nil"/>
              <w:left w:val="nil"/>
              <w:bottom w:val="nil"/>
              <w:right w:val="nil"/>
            </w:tcBorders>
            <w:vAlign w:val="center"/>
          </w:tcPr>
          <w:p>
            <w:pPr>
              <w:widowControl/>
              <w:spacing w:line="560" w:lineRule="exact"/>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截止时间：2017年12月31日</w:t>
            </w:r>
          </w:p>
        </w:tc>
      </w:tr>
      <w:tr>
        <w:tblPrEx>
          <w:tblLayout w:type="fixed"/>
          <w:tblCellMar>
            <w:top w:w="0" w:type="dxa"/>
            <w:left w:w="108" w:type="dxa"/>
            <w:bottom w:w="0" w:type="dxa"/>
            <w:right w:w="108" w:type="dxa"/>
          </w:tblCellMar>
        </w:tblPrEx>
        <w:trPr>
          <w:trHeight w:val="571"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firstLine="442" w:firstLineChars="200"/>
              <w:rPr>
                <w:rFonts w:hint="eastAsia" w:ascii="仿宋" w:hAnsi="仿宋" w:eastAsia="仿宋" w:cs="仿宋"/>
                <w:b/>
                <w:bCs/>
                <w:color w:val="auto"/>
                <w:kern w:val="0"/>
                <w:sz w:val="22"/>
                <w:highlight w:val="none"/>
              </w:rPr>
            </w:pPr>
            <w:r>
              <w:rPr>
                <w:rFonts w:hint="eastAsia" w:ascii="仿宋" w:hAnsi="仿宋" w:eastAsia="仿宋" w:cs="仿宋"/>
                <w:b/>
                <w:bCs/>
                <w:color w:val="auto"/>
                <w:kern w:val="0"/>
                <w:sz w:val="22"/>
                <w:highlight w:val="none"/>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rFonts w:hint="eastAsia" w:ascii="仿宋" w:hAnsi="仿宋" w:eastAsia="仿宋" w:cs="仿宋"/>
                <w:b/>
                <w:bCs/>
                <w:color w:val="auto"/>
                <w:kern w:val="0"/>
                <w:sz w:val="22"/>
                <w:highlight w:val="none"/>
              </w:rPr>
            </w:pPr>
            <w:r>
              <w:rPr>
                <w:rFonts w:hint="eastAsia" w:ascii="仿宋" w:hAnsi="仿宋" w:eastAsia="仿宋" w:cs="仿宋"/>
                <w:b/>
                <w:bCs/>
                <w:color w:val="auto"/>
                <w:kern w:val="0"/>
                <w:sz w:val="22"/>
                <w:highlight w:val="none"/>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firstLine="442" w:firstLineChars="200"/>
              <w:rPr>
                <w:rFonts w:hint="eastAsia" w:ascii="仿宋" w:hAnsi="仿宋" w:eastAsia="仿宋" w:cs="仿宋"/>
                <w:b/>
                <w:bCs/>
                <w:color w:val="auto"/>
                <w:kern w:val="0"/>
                <w:sz w:val="22"/>
                <w:highlight w:val="none"/>
              </w:rPr>
            </w:pPr>
            <w:r>
              <w:rPr>
                <w:rFonts w:hint="eastAsia" w:ascii="仿宋" w:hAnsi="仿宋" w:eastAsia="仿宋" w:cs="仿宋"/>
                <w:b/>
                <w:bCs/>
                <w:color w:val="auto"/>
                <w:kern w:val="0"/>
                <w:sz w:val="22"/>
                <w:highlight w:val="none"/>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w:t>
            </w:r>
          </w:p>
        </w:tc>
        <w:tc>
          <w:tcPr>
            <w:tcW w:w="33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仿宋" w:hAnsi="仿宋" w:eastAsia="仿宋" w:cs="仿宋"/>
                <w:color w:val="auto"/>
                <w:kern w:val="0"/>
                <w:sz w:val="22"/>
                <w:highlight w:val="none"/>
                <w:lang w:val="en-US" w:eastAsia="zh-CN"/>
              </w:rPr>
            </w:pPr>
            <w:r>
              <w:rPr>
                <w:rFonts w:hint="eastAsia" w:ascii="仿宋" w:hAnsi="仿宋" w:eastAsia="仿宋" w:cs="仿宋"/>
                <w:i w:val="0"/>
                <w:color w:val="000000"/>
                <w:kern w:val="0"/>
                <w:sz w:val="20"/>
                <w:szCs w:val="20"/>
                <w:u w:val="none"/>
                <w:lang w:val="en-US" w:eastAsia="zh-CN" w:bidi="ar"/>
              </w:rPr>
              <w:t>220.69</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1、房屋（平方米）</w:t>
            </w:r>
          </w:p>
        </w:tc>
        <w:tc>
          <w:tcPr>
            <w:tcW w:w="2081" w:type="dxa"/>
            <w:tcBorders>
              <w:top w:val="nil"/>
              <w:left w:val="nil"/>
              <w:bottom w:val="single" w:color="auto" w:sz="4" w:space="0"/>
              <w:right w:val="single" w:color="auto" w:sz="4" w:space="0"/>
            </w:tcBorders>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color w:val="auto"/>
                <w:kern w:val="0"/>
                <w:sz w:val="22"/>
                <w:highlight w:val="none"/>
              </w:rPr>
            </w:pPr>
            <w:r>
              <w:rPr>
                <w:rFonts w:hint="eastAsia" w:ascii="仿宋" w:hAnsi="仿宋" w:eastAsia="仿宋" w:cs="仿宋"/>
                <w:i w:val="0"/>
                <w:color w:val="000000"/>
                <w:kern w:val="0"/>
                <w:sz w:val="22"/>
                <w:szCs w:val="22"/>
                <w:u w:val="none"/>
                <w:lang w:val="en-US" w:eastAsia="zh-CN" w:bidi="ar"/>
              </w:rPr>
              <w:t>1432</w:t>
            </w:r>
          </w:p>
        </w:tc>
        <w:tc>
          <w:tcPr>
            <w:tcW w:w="3370" w:type="dxa"/>
            <w:tcBorders>
              <w:top w:val="nil"/>
              <w:left w:val="nil"/>
              <w:bottom w:val="single" w:color="auto" w:sz="4" w:space="0"/>
              <w:right w:val="single" w:color="auto" w:sz="4" w:space="0"/>
            </w:tcBorders>
            <w:vAlign w:val="center"/>
          </w:tcPr>
          <w:p>
            <w:pPr>
              <w:keepNext w:val="0"/>
              <w:keepLines w:val="0"/>
              <w:widowControl/>
              <w:suppressLineNumbers w:val="0"/>
              <w:ind w:left="0" w:leftChars="0" w:right="0" w:rightChars="0" w:firstLine="0" w:firstLineChars="0"/>
              <w:jc w:val="center"/>
              <w:textAlignment w:val="bottom"/>
              <w:rPr>
                <w:rFonts w:hint="eastAsia" w:ascii="仿宋" w:hAnsi="仿宋" w:eastAsia="仿宋" w:cs="仿宋"/>
                <w:color w:val="auto"/>
                <w:kern w:val="0"/>
                <w:sz w:val="22"/>
                <w:highlight w:val="none"/>
                <w:lang w:val="en-US" w:eastAsia="zh-CN"/>
              </w:rPr>
            </w:pPr>
            <w:r>
              <w:rPr>
                <w:rFonts w:hint="eastAsia" w:ascii="仿宋" w:hAnsi="仿宋" w:eastAsia="仿宋" w:cs="仿宋"/>
                <w:i w:val="0"/>
                <w:color w:val="000000"/>
                <w:kern w:val="0"/>
                <w:sz w:val="20"/>
                <w:szCs w:val="20"/>
                <w:u w:val="none"/>
                <w:lang w:val="en-US" w:eastAsia="zh-CN" w:bidi="ar"/>
              </w:rPr>
              <w:t>123.67</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 xml:space="preserve">    其中：办公用房（平方米）</w:t>
            </w:r>
          </w:p>
        </w:tc>
        <w:tc>
          <w:tcPr>
            <w:tcW w:w="2081" w:type="dxa"/>
            <w:tcBorders>
              <w:top w:val="nil"/>
              <w:left w:val="nil"/>
              <w:bottom w:val="single" w:color="auto" w:sz="4" w:space="0"/>
              <w:right w:val="single" w:color="auto" w:sz="4" w:space="0"/>
            </w:tcBorders>
            <w:vAlign w:val="center"/>
          </w:tcPr>
          <w:p>
            <w:pPr>
              <w:keepNext w:val="0"/>
              <w:keepLines w:val="0"/>
              <w:widowControl/>
              <w:suppressLineNumbers w:val="0"/>
              <w:ind w:left="0" w:leftChars="0" w:right="0" w:rightChars="0" w:firstLine="0" w:firstLineChars="0"/>
              <w:jc w:val="center"/>
              <w:textAlignment w:val="center"/>
              <w:rPr>
                <w:rFonts w:hint="eastAsia" w:ascii="仿宋" w:hAnsi="仿宋" w:eastAsia="仿宋" w:cs="仿宋"/>
                <w:color w:val="auto"/>
                <w:kern w:val="0"/>
                <w:sz w:val="22"/>
                <w:highlight w:val="none"/>
              </w:rPr>
            </w:pPr>
            <w:r>
              <w:rPr>
                <w:rFonts w:hint="eastAsia" w:ascii="仿宋" w:hAnsi="仿宋" w:eastAsia="仿宋" w:cs="仿宋"/>
                <w:i w:val="0"/>
                <w:color w:val="000000"/>
                <w:kern w:val="0"/>
                <w:sz w:val="22"/>
                <w:szCs w:val="22"/>
                <w:u w:val="none"/>
                <w:lang w:val="en-US" w:eastAsia="zh-CN" w:bidi="ar"/>
              </w:rPr>
              <w:t>1432</w:t>
            </w:r>
          </w:p>
        </w:tc>
        <w:tc>
          <w:tcPr>
            <w:tcW w:w="3370" w:type="dxa"/>
            <w:tcBorders>
              <w:top w:val="nil"/>
              <w:left w:val="nil"/>
              <w:bottom w:val="single" w:color="auto" w:sz="4" w:space="0"/>
              <w:right w:val="single" w:color="auto" w:sz="4" w:space="0"/>
            </w:tcBorders>
            <w:vAlign w:val="center"/>
          </w:tcPr>
          <w:p>
            <w:pPr>
              <w:keepNext w:val="0"/>
              <w:keepLines w:val="0"/>
              <w:widowControl/>
              <w:suppressLineNumbers w:val="0"/>
              <w:ind w:left="0" w:leftChars="0" w:right="0" w:rightChars="0" w:firstLine="0" w:firstLineChars="0"/>
              <w:jc w:val="center"/>
              <w:textAlignment w:val="bottom"/>
              <w:rPr>
                <w:rFonts w:hint="eastAsia" w:ascii="仿宋" w:hAnsi="仿宋" w:eastAsia="仿宋" w:cs="仿宋"/>
                <w:color w:val="auto"/>
                <w:kern w:val="0"/>
                <w:sz w:val="22"/>
                <w:highlight w:val="none"/>
                <w:lang w:val="en-US"/>
              </w:rPr>
            </w:pPr>
            <w:r>
              <w:rPr>
                <w:rFonts w:hint="eastAsia" w:ascii="仿宋" w:hAnsi="仿宋" w:eastAsia="仿宋" w:cs="仿宋"/>
                <w:i w:val="0"/>
                <w:color w:val="000000"/>
                <w:kern w:val="0"/>
                <w:sz w:val="20"/>
                <w:szCs w:val="20"/>
                <w:u w:val="none"/>
                <w:lang w:val="en-US" w:eastAsia="zh-CN" w:bidi="ar"/>
              </w:rPr>
              <w:t>123.67</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2、车辆（台、辆）</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ascii="仿宋" w:hAnsi="仿宋" w:eastAsia="仿宋" w:cs="仿宋"/>
                <w:color w:val="auto"/>
                <w:kern w:val="0"/>
                <w:sz w:val="22"/>
                <w:highlight w:val="none"/>
                <w:lang w:val="en-US" w:eastAsia="zh-CN"/>
              </w:rPr>
            </w:pPr>
            <w:r>
              <w:rPr>
                <w:rFonts w:hint="eastAsia" w:ascii="仿宋" w:hAnsi="仿宋" w:eastAsia="仿宋" w:cs="仿宋"/>
                <w:color w:val="auto"/>
                <w:kern w:val="0"/>
                <w:sz w:val="22"/>
                <w:highlight w:val="none"/>
                <w:lang w:val="en-US" w:eastAsia="zh-CN"/>
              </w:rPr>
              <w:t>2</w:t>
            </w:r>
          </w:p>
        </w:tc>
        <w:tc>
          <w:tcPr>
            <w:tcW w:w="3370" w:type="dxa"/>
            <w:tcBorders>
              <w:top w:val="nil"/>
              <w:left w:val="nil"/>
              <w:bottom w:val="single" w:color="auto" w:sz="4" w:space="0"/>
              <w:right w:val="single" w:color="auto" w:sz="4" w:space="0"/>
            </w:tcBorders>
            <w:vAlign w:val="center"/>
          </w:tcPr>
          <w:p>
            <w:pPr>
              <w:keepNext w:val="0"/>
              <w:keepLines w:val="0"/>
              <w:widowControl/>
              <w:suppressLineNumbers w:val="0"/>
              <w:ind w:left="0" w:leftChars="0" w:right="0" w:rightChars="0" w:firstLine="0" w:firstLineChars="0"/>
              <w:jc w:val="center"/>
              <w:textAlignment w:val="bottom"/>
              <w:rPr>
                <w:rFonts w:hint="eastAsia" w:ascii="仿宋" w:hAnsi="仿宋" w:eastAsia="仿宋" w:cs="仿宋"/>
                <w:color w:val="auto"/>
                <w:kern w:val="0"/>
                <w:sz w:val="22"/>
                <w:highlight w:val="none"/>
              </w:rPr>
            </w:pPr>
            <w:r>
              <w:rPr>
                <w:rFonts w:hint="eastAsia" w:ascii="仿宋" w:hAnsi="仿宋" w:eastAsia="仿宋" w:cs="仿宋"/>
                <w:i w:val="0"/>
                <w:color w:val="000000"/>
                <w:kern w:val="0"/>
                <w:sz w:val="20"/>
                <w:szCs w:val="20"/>
                <w:u w:val="none"/>
                <w:lang w:val="en-US" w:eastAsia="zh-CN" w:bidi="ar"/>
              </w:rPr>
              <w:t>35.08</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jc w:val="right"/>
              <w:rPr>
                <w:rFonts w:hint="eastAsia" w:ascii="仿宋" w:hAnsi="仿宋" w:eastAsia="仿宋" w:cs="仿宋"/>
                <w:color w:val="auto"/>
                <w:kern w:val="0"/>
                <w:sz w:val="22"/>
                <w:highlight w:val="none"/>
                <w:lang w:val="en-US" w:eastAsia="zh-CN"/>
              </w:rPr>
            </w:pPr>
          </w:p>
        </w:tc>
        <w:tc>
          <w:tcPr>
            <w:tcW w:w="3370" w:type="dxa"/>
            <w:tcBorders>
              <w:top w:val="nil"/>
              <w:left w:val="nil"/>
              <w:bottom w:val="single" w:color="auto" w:sz="4" w:space="0"/>
              <w:right w:val="single" w:color="auto" w:sz="4" w:space="0"/>
            </w:tcBorders>
            <w:vAlign w:val="center"/>
          </w:tcPr>
          <w:p>
            <w:pPr>
              <w:widowControl/>
              <w:spacing w:line="560" w:lineRule="exact"/>
              <w:ind w:firstLine="440" w:firstLineChars="200"/>
              <w:jc w:val="center"/>
              <w:rPr>
                <w:rFonts w:hint="eastAsia" w:ascii="仿宋" w:hAnsi="仿宋" w:eastAsia="仿宋" w:cs="仿宋"/>
                <w:color w:val="auto"/>
                <w:kern w:val="0"/>
                <w:sz w:val="22"/>
                <w:highlight w:val="none"/>
                <w:lang w:val="en-US" w:eastAsia="zh-CN"/>
              </w:rPr>
            </w:pP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r>
              <w:rPr>
                <w:rFonts w:hint="eastAsia" w:ascii="仿宋" w:hAnsi="仿宋" w:eastAsia="仿宋" w:cs="仿宋"/>
                <w:color w:val="auto"/>
                <w:kern w:val="0"/>
                <w:sz w:val="22"/>
                <w:highlight w:val="none"/>
              </w:rPr>
              <w:t>4、其他固定资产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firstLine="440" w:firstLineChars="200"/>
              <w:rPr>
                <w:rFonts w:hint="eastAsia" w:ascii="仿宋" w:hAnsi="仿宋" w:eastAsia="仿宋" w:cs="仿宋"/>
                <w:color w:val="auto"/>
                <w:kern w:val="0"/>
                <w:sz w:val="22"/>
                <w:highlight w:val="none"/>
              </w:rPr>
            </w:pPr>
          </w:p>
        </w:tc>
        <w:tc>
          <w:tcPr>
            <w:tcW w:w="337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bottom"/>
              <w:rPr>
                <w:rFonts w:hint="eastAsia" w:ascii="仿宋" w:hAnsi="仿宋" w:eastAsia="仿宋" w:cs="仿宋"/>
                <w:color w:val="auto"/>
                <w:kern w:val="0"/>
                <w:sz w:val="22"/>
                <w:highlight w:val="none"/>
                <w:lang w:val="en-US" w:eastAsia="zh-CN"/>
              </w:rPr>
            </w:pPr>
            <w:r>
              <w:rPr>
                <w:rFonts w:hint="eastAsia" w:ascii="仿宋" w:hAnsi="仿宋" w:eastAsia="仿宋" w:cs="仿宋"/>
                <w:i w:val="0"/>
                <w:color w:val="000000"/>
                <w:kern w:val="0"/>
                <w:sz w:val="20"/>
                <w:szCs w:val="20"/>
                <w:u w:val="none"/>
                <w:lang w:val="en-US" w:eastAsia="zh-CN" w:bidi="ar"/>
              </w:rPr>
              <w:t>61.94</w:t>
            </w:r>
          </w:p>
        </w:tc>
      </w:tr>
    </w:tbl>
    <w:p>
      <w:pPr>
        <w:widowControl/>
        <w:numPr>
          <w:ilvl w:val="0"/>
          <w:numId w:val="2"/>
        </w:numPr>
        <w:spacing w:line="560"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其他需要说明的情况:</w:t>
      </w:r>
    </w:p>
    <w:p>
      <w:pPr>
        <w:widowControl/>
        <w:spacing w:line="560" w:lineRule="exact"/>
        <w:ind w:firstLine="640" w:firstLineChars="200"/>
        <w:rPr>
          <w:rFonts w:hint="eastAsia" w:ascii="仿宋" w:hAnsi="仿宋" w:eastAsia="仿宋" w:cs="仿宋"/>
          <w:color w:val="auto"/>
          <w:kern w:val="0"/>
          <w:sz w:val="32"/>
          <w:szCs w:val="32"/>
          <w:highlight w:val="none"/>
          <w:lang w:eastAsia="zh-CN"/>
        </w:rPr>
      </w:pPr>
      <w:r>
        <w:rPr>
          <w:rFonts w:hint="eastAsia" w:ascii="仿宋" w:hAnsi="仿宋" w:eastAsia="仿宋" w:cs="仿宋"/>
          <w:color w:val="auto"/>
          <w:kern w:val="0"/>
          <w:sz w:val="32"/>
          <w:szCs w:val="32"/>
          <w:highlight w:val="none"/>
        </w:rPr>
        <w:t xml:space="preserve"> </w:t>
      </w:r>
      <w:r>
        <w:rPr>
          <w:rFonts w:hint="eastAsia" w:ascii="仿宋" w:hAnsi="仿宋" w:eastAsia="仿宋" w:cs="仿宋"/>
          <w:color w:val="auto"/>
          <w:kern w:val="0"/>
          <w:sz w:val="32"/>
          <w:szCs w:val="32"/>
          <w:highlight w:val="none"/>
          <w:lang w:eastAsia="zh-CN"/>
        </w:rPr>
        <w:t>由于决算公开表格中金额数值应当保留两位小数，公开数据为四舍五入计算结果，个别数据合计项与分项之和存在小数点后差额，特此说明。</w:t>
      </w:r>
      <w:bookmarkStart w:id="0" w:name="_GoBack"/>
      <w:bookmarkEnd w:id="0"/>
    </w:p>
    <w:p>
      <w:pPr>
        <w:autoSpaceDE w:val="0"/>
        <w:autoSpaceDN w:val="0"/>
        <w:adjustRightInd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四、名词解释</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（一）财政拨款收入：本年度从本级财政部门取得的财政拨款，包括一般公共预算财政拨款和政府性基金预算财政拨款。</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（二）事业收入：指事业单位开展专业业务活动及辅助活动所取得的收入。</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（三）其他收入：指除上述“财政拨款收入”、“事业收入”、“经营收入”等以外的收入。</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（五）年初结转和结余：指以前年度尚未完成、结转到本年仍按原规定用途继续使用的资金，或项目已完成等产生的结余资金。</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（六）结余分配：指事业单位按照事业单位会计制度的规定从非财政补助结余中分配的事业基金和职工福利基金等。</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（七）年末结转和结余：指单位按有关规定结转到下年或以后年度继续使用的资金，或项目已完成等产生的结余资金。</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（八）基本支出：填列单位为保障机构正常运转、完成日常工作任务而发生的各项支出。</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（九）项目支出：填列单位为完成特定的行政工作任务或事业发展目标，在基本支出之外发生的各项支出</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（十四）公务用车购置：填列单位公务用车车辆购置支出（含车辆购置税）。</w:t>
      </w:r>
    </w:p>
    <w:p>
      <w:pPr>
        <w:widowControl/>
        <w:spacing w:line="560" w:lineRule="exact"/>
        <w:ind w:firstLine="640" w:firstLineChars="200"/>
        <w:rPr>
          <w:rFonts w:hint="eastAsia" w:ascii="仿宋" w:hAnsi="仿宋" w:eastAsia="仿宋" w:cs="仿宋"/>
          <w:color w:val="auto"/>
          <w:kern w:val="0"/>
          <w:sz w:val="32"/>
          <w:szCs w:val="32"/>
          <w:highlight w:val="none"/>
        </w:rPr>
      </w:pPr>
      <w:r>
        <w:rPr>
          <w:rFonts w:hint="eastAsia" w:ascii="仿宋" w:hAnsi="仿宋" w:eastAsia="仿宋" w:cs="仿宋"/>
          <w:color w:val="auto"/>
          <w:kern w:val="0"/>
          <w:sz w:val="32"/>
          <w:szCs w:val="32"/>
          <w:highlight w:val="none"/>
        </w:rPr>
        <w:t>（十五）其他交通工具购置：填列单位除公务用车外的其他各类交通工具（如船舶、飞机）购置支出（含车辆购置税）。</w:t>
      </w:r>
    </w:p>
    <w:p>
      <w:pPr>
        <w:widowControl/>
        <w:spacing w:line="560" w:lineRule="exact"/>
        <w:ind w:firstLine="640" w:firstLineChars="200"/>
        <w:rPr>
          <w:rFonts w:hint="eastAsia" w:ascii="仿宋" w:hAnsi="仿宋" w:eastAsia="仿宋" w:cs="仿宋"/>
          <w:color w:val="auto"/>
          <w:highlight w:val="none"/>
        </w:rPr>
      </w:pPr>
      <w:r>
        <w:rPr>
          <w:rFonts w:hint="eastAsia" w:ascii="仿宋" w:hAnsi="仿宋" w:eastAsia="仿宋" w:cs="仿宋"/>
          <w:color w:val="auto"/>
          <w:kern w:val="0"/>
          <w:sz w:val="32"/>
          <w:szCs w:val="32"/>
          <w:highlight w:val="none"/>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rFonts w:hint="eastAsia" w:ascii="仿宋" w:hAnsi="仿宋" w:eastAsia="仿宋" w:cs="仿宋"/>
          <w:color w:val="auto"/>
          <w:highlight w:val="none"/>
        </w:rPr>
      </w:pPr>
    </w:p>
    <w:sectPr>
      <w:footerReference r:id="rId3"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40BD"/>
    <w:multiLevelType w:val="singleLevel"/>
    <w:tmpl w:val="0C4C40BD"/>
    <w:lvl w:ilvl="0" w:tentative="0">
      <w:start w:val="4"/>
      <w:numFmt w:val="decimal"/>
      <w:suff w:val="nothing"/>
      <w:lvlText w:val="%1、"/>
      <w:lvlJc w:val="left"/>
      <w:rPr>
        <w:rFonts w:cs="Times New Roman"/>
      </w:rPr>
    </w:lvl>
  </w:abstractNum>
  <w:abstractNum w:abstractNumId="1">
    <w:nsid w:val="5F6E5825"/>
    <w:multiLevelType w:val="singleLevel"/>
    <w:tmpl w:val="5F6E5825"/>
    <w:lvl w:ilvl="0" w:tentative="0">
      <w:start w:val="1"/>
      <w:numFmt w:val="chineseCounting"/>
      <w:suff w:val="nothing"/>
      <w:lvlText w:val="%1、"/>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4408"/>
    <w:rsid w:val="00052DDA"/>
    <w:rsid w:val="001D0168"/>
    <w:rsid w:val="00614BE8"/>
    <w:rsid w:val="00964408"/>
    <w:rsid w:val="0097621A"/>
    <w:rsid w:val="00AB2588"/>
    <w:rsid w:val="00AE2E76"/>
    <w:rsid w:val="00B47F72"/>
    <w:rsid w:val="00D91FFB"/>
    <w:rsid w:val="01F616FF"/>
    <w:rsid w:val="0B6362FD"/>
    <w:rsid w:val="0B910D88"/>
    <w:rsid w:val="1854771D"/>
    <w:rsid w:val="21233BCA"/>
    <w:rsid w:val="22A86D6C"/>
    <w:rsid w:val="24407CB7"/>
    <w:rsid w:val="2DFB3654"/>
    <w:rsid w:val="3EBD1103"/>
    <w:rsid w:val="3F895361"/>
    <w:rsid w:val="3FC46F0E"/>
    <w:rsid w:val="400C427B"/>
    <w:rsid w:val="44280210"/>
    <w:rsid w:val="4AEF18D5"/>
    <w:rsid w:val="5273467F"/>
    <w:rsid w:val="545C0666"/>
    <w:rsid w:val="5DE074D4"/>
    <w:rsid w:val="62AB5323"/>
    <w:rsid w:val="6371759B"/>
    <w:rsid w:val="6B2A7DCC"/>
    <w:rsid w:val="72CE1A8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rFonts w:ascii="Calibri" w:hAnsi="Calibri"/>
      <w:sz w:val="18"/>
      <w:szCs w:val="18"/>
    </w:rPr>
  </w:style>
  <w:style w:type="character" w:customStyle="1" w:styleId="8">
    <w:name w:val="Header Char"/>
    <w:basedOn w:val="5"/>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10</Pages>
  <Words>766</Words>
  <Characters>4369</Characters>
  <Lines>0</Lines>
  <Paragraphs>0</Paragraphs>
  <TotalTime>71</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Administrator</cp:lastModifiedBy>
  <cp:lastPrinted>2018-10-10T00:45:00Z</cp:lastPrinted>
  <dcterms:modified xsi:type="dcterms:W3CDTF">2019-01-26T02:37:37Z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